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21"/>
          <w:szCs w:val="21"/>
          <w:color w:val="0000EE"/>
        </w:rPr>
      </w:pPr>
      <w:hyperlink w:anchor="page4">
        <w:r>
          <w:rPr>
            <w:rFonts w:ascii="Arial" w:cs="Arial" w:eastAsia="Arial" w:hAnsi="Arial"/>
            <w:sz w:val="21"/>
            <w:szCs w:val="21"/>
            <w:u w:val="single" w:color="auto"/>
            <w:color w:val="0000EE"/>
          </w:rPr>
          <w:t>QuickLinks</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21"/>
          <w:szCs w:val="21"/>
          <w:color w:val="000000"/>
        </w:rPr>
        <w:t>Click here to rapidly navigate through this document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143510</wp:posOffset>
            </wp:positionV>
            <wp:extent cx="7250430" cy="41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50430" cy="41910"/>
                    </a:xfrm>
                    <a:prstGeom prst="rect">
                      <a:avLst/>
                    </a:prstGeom>
                    <a:noFill/>
                  </pic:spPr>
                </pic:pic>
              </a:graphicData>
            </a:graphic>
          </wp:anchor>
        </w:drawing>
      </w:r>
    </w:p>
    <w:p>
      <w:pPr>
        <w:spacing w:after="0" w:line="200" w:lineRule="exact"/>
        <w:rPr>
          <w:sz w:val="24"/>
          <w:szCs w:val="24"/>
          <w:color w:val="auto"/>
        </w:rPr>
      </w:pPr>
    </w:p>
    <w:p>
      <w:pPr>
        <w:spacing w:after="0" w:line="240" w:lineRule="exact"/>
        <w:rPr>
          <w:sz w:val="24"/>
          <w:szCs w:val="24"/>
          <w:color w:val="auto"/>
        </w:rPr>
      </w:pPr>
    </w:p>
    <w:p>
      <w:pPr>
        <w:jc w:val="center"/>
        <w:spacing w:after="0"/>
        <w:rPr>
          <w:sz w:val="20"/>
          <w:szCs w:val="20"/>
          <w:color w:val="auto"/>
        </w:rPr>
      </w:pPr>
      <w:r>
        <w:rPr>
          <w:rFonts w:ascii="Arial" w:cs="Arial" w:eastAsia="Arial" w:hAnsi="Arial"/>
          <w:sz w:val="31"/>
          <w:szCs w:val="31"/>
          <w:b w:val="1"/>
          <w:bCs w:val="1"/>
          <w:color w:val="auto"/>
        </w:rPr>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1"/>
          <w:szCs w:val="31"/>
          <w:b w:val="1"/>
          <w:bCs w:val="1"/>
          <w:color w:val="auto"/>
        </w:rPr>
        <w:t>SECURITIES AND EXCHANGE COMMISSION</w:t>
      </w:r>
    </w:p>
    <w:p>
      <w:pPr>
        <w:spacing w:after="0" w:line="8"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Washington, D.C. 20549</w:t>
      </w:r>
    </w:p>
    <w:p>
      <w:pPr>
        <w:spacing w:after="0" w:line="178" w:lineRule="exact"/>
        <w:rPr>
          <w:sz w:val="24"/>
          <w:szCs w:val="24"/>
          <w:color w:val="auto"/>
        </w:rPr>
      </w:pPr>
    </w:p>
    <w:p>
      <w:pPr>
        <w:jc w:val="center"/>
        <w:spacing w:after="0"/>
        <w:rPr>
          <w:sz w:val="20"/>
          <w:szCs w:val="20"/>
          <w:color w:val="auto"/>
        </w:rPr>
      </w:pPr>
      <w:r>
        <w:rPr>
          <w:rFonts w:ascii="Arial" w:cs="Arial" w:eastAsia="Arial" w:hAnsi="Arial"/>
          <w:sz w:val="31"/>
          <w:szCs w:val="31"/>
          <w:b w:val="1"/>
          <w:bCs w:val="1"/>
          <w:color w:val="auto"/>
        </w:rPr>
        <w:t>Form 6-K</w:t>
      </w:r>
    </w:p>
    <w:p>
      <w:pPr>
        <w:spacing w:after="0" w:line="221" w:lineRule="exact"/>
        <w:rPr>
          <w:sz w:val="24"/>
          <w:szCs w:val="24"/>
          <w:color w:val="auto"/>
        </w:rPr>
      </w:pPr>
    </w:p>
    <w:p>
      <w:pPr>
        <w:jc w:val="center"/>
        <w:spacing w:after="0"/>
        <w:rPr>
          <w:sz w:val="20"/>
          <w:szCs w:val="20"/>
          <w:color w:val="auto"/>
        </w:rPr>
      </w:pPr>
      <w:r>
        <w:rPr>
          <w:rFonts w:ascii="Arial" w:cs="Arial" w:eastAsia="Arial" w:hAnsi="Arial"/>
          <w:sz w:val="21"/>
          <w:szCs w:val="21"/>
          <w:b w:val="1"/>
          <w:bCs w:val="1"/>
          <w:color w:val="auto"/>
        </w:rPr>
        <w:t>REPORT OF FOREIGN PRIVATE ISSUER PURSUANT TO RULE 13a-16 OR</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21"/>
          <w:szCs w:val="21"/>
          <w:b w:val="1"/>
          <w:bCs w:val="1"/>
          <w:color w:val="auto"/>
        </w:rPr>
        <w:t>15d-16 UNDER THE SECURITIES EXCHANGE ACT OF 1934</w:t>
      </w:r>
    </w:p>
    <w:p>
      <w:pPr>
        <w:spacing w:after="0" w:line="195"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For the month of April, 2016.</w:t>
      </w:r>
    </w:p>
    <w:p>
      <w:pPr>
        <w:spacing w:after="0" w:line="224"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Commission File Number 001-13422</w:t>
      </w:r>
    </w:p>
    <w:p>
      <w:pPr>
        <w:spacing w:after="0" w:line="196" w:lineRule="exact"/>
        <w:rPr>
          <w:sz w:val="24"/>
          <w:szCs w:val="24"/>
          <w:color w:val="auto"/>
        </w:rPr>
      </w:pPr>
    </w:p>
    <w:p>
      <w:pPr>
        <w:jc w:val="center"/>
        <w:spacing w:after="0"/>
        <w:rPr>
          <w:sz w:val="20"/>
          <w:szCs w:val="20"/>
          <w:color w:val="auto"/>
        </w:rPr>
      </w:pPr>
      <w:r>
        <w:rPr>
          <w:rFonts w:ascii="Arial" w:cs="Arial" w:eastAsia="Arial" w:hAnsi="Arial"/>
          <w:sz w:val="31"/>
          <w:szCs w:val="31"/>
          <w:b w:val="1"/>
          <w:bCs w:val="1"/>
          <w:color w:val="auto"/>
        </w:rPr>
        <w:t>AGNICO EAGLE MINES LIMITED</w:t>
      </w:r>
    </w:p>
    <w:p>
      <w:pPr>
        <w:spacing w:after="0" w:line="44" w:lineRule="exact"/>
        <w:rPr>
          <w:sz w:val="24"/>
          <w:szCs w:val="24"/>
          <w:color w:val="auto"/>
        </w:rPr>
      </w:pPr>
    </w:p>
    <w:p>
      <w:pPr>
        <w:jc w:val="center"/>
        <w:spacing w:after="0"/>
        <w:rPr>
          <w:sz w:val="20"/>
          <w:szCs w:val="20"/>
          <w:color w:val="auto"/>
        </w:rPr>
      </w:pPr>
      <w:r>
        <w:rPr>
          <w:rFonts w:ascii="Arial" w:cs="Arial" w:eastAsia="Arial" w:hAnsi="Arial"/>
          <w:sz w:val="17"/>
          <w:szCs w:val="17"/>
          <w:color w:val="auto"/>
        </w:rPr>
        <w:t>(Translation of registrant's name into English)</w:t>
      </w:r>
    </w:p>
    <w:p>
      <w:pPr>
        <w:spacing w:after="0" w:line="206"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145 King Street East, Suite 400, Toronto, Ontario M5C 2Y7</w:t>
      </w:r>
    </w:p>
    <w:p>
      <w:pPr>
        <w:spacing w:after="0" w:line="24" w:lineRule="exact"/>
        <w:rPr>
          <w:sz w:val="24"/>
          <w:szCs w:val="24"/>
          <w:color w:val="auto"/>
        </w:rPr>
      </w:pPr>
    </w:p>
    <w:p>
      <w:pPr>
        <w:jc w:val="center"/>
        <w:spacing w:after="0"/>
        <w:rPr>
          <w:sz w:val="20"/>
          <w:szCs w:val="20"/>
          <w:color w:val="auto"/>
        </w:rPr>
      </w:pPr>
      <w:r>
        <w:rPr>
          <w:rFonts w:ascii="Arial" w:cs="Arial" w:eastAsia="Arial" w:hAnsi="Arial"/>
          <w:sz w:val="17"/>
          <w:szCs w:val="17"/>
          <w:color w:val="auto"/>
        </w:rPr>
        <w:t>(Address of principal executive office)</w:t>
      </w:r>
    </w:p>
    <w:p>
      <w:pPr>
        <w:spacing w:after="0" w:line="186" w:lineRule="exact"/>
        <w:rPr>
          <w:sz w:val="24"/>
          <w:szCs w:val="24"/>
          <w:color w:val="auto"/>
        </w:rPr>
      </w:pPr>
    </w:p>
    <w:p>
      <w:pPr>
        <w:ind w:left="340"/>
        <w:spacing w:after="0" w:line="196" w:lineRule="exact"/>
        <w:tabs>
          <w:tab w:leader="none" w:pos="9440" w:val="left"/>
        </w:tabs>
        <w:rPr>
          <w:sz w:val="20"/>
          <w:szCs w:val="20"/>
          <w:color w:val="auto"/>
        </w:rPr>
      </w:pPr>
      <w:r>
        <w:rPr>
          <w:rFonts w:ascii="Arial" w:cs="Arial" w:eastAsia="Arial" w:hAnsi="Arial"/>
          <w:sz w:val="17"/>
          <w:szCs w:val="17"/>
          <w:color w:val="auto"/>
        </w:rPr>
        <w:t>Indicate by check mark whether the registrant files or will file annual reports under cover of Form 20-F or Form 40-F. Form 20-F o</w:t>
      </w:r>
      <w:r>
        <w:rPr>
          <w:sz w:val="20"/>
          <w:szCs w:val="20"/>
          <w:color w:val="auto"/>
        </w:rPr>
        <w:tab/>
      </w:r>
      <w:r>
        <w:rPr>
          <w:rFonts w:ascii="Arial" w:cs="Arial" w:eastAsia="Arial" w:hAnsi="Arial"/>
          <w:sz w:val="15"/>
          <w:szCs w:val="15"/>
          <w:color w:val="auto"/>
        </w:rPr>
        <w:t xml:space="preserve">Form 40-F </w:t>
      </w:r>
      <w:r>
        <w:rPr>
          <w:rFonts w:ascii="MS PGothic" w:cs="MS PGothic" w:eastAsia="MS PGothic" w:hAnsi="MS PGothic"/>
          <w:sz w:val="15"/>
          <w:szCs w:val="15"/>
          <w:color w:val="auto"/>
        </w:rPr>
        <w:t>☒</w:t>
      </w:r>
    </w:p>
    <w:p>
      <w:pPr>
        <w:spacing w:after="0" w:line="256" w:lineRule="exact"/>
        <w:rPr>
          <w:sz w:val="24"/>
          <w:szCs w:val="24"/>
          <w:color w:val="auto"/>
        </w:rPr>
      </w:pPr>
    </w:p>
    <w:p>
      <w:pPr>
        <w:ind w:left="340"/>
        <w:spacing w:after="0"/>
        <w:rPr>
          <w:sz w:val="20"/>
          <w:szCs w:val="20"/>
          <w:color w:val="auto"/>
        </w:rPr>
      </w:pPr>
      <w:r>
        <w:rPr>
          <w:rFonts w:ascii="Arial" w:cs="Arial" w:eastAsia="Arial" w:hAnsi="Arial"/>
          <w:sz w:val="17"/>
          <w:szCs w:val="17"/>
          <w:color w:val="auto"/>
        </w:rPr>
        <w:t>Indicate by check mark if the registrant is submitting the Form 6-K in paper as permitted by Regulation S-T Rule 101 (b)(1):</w:t>
      </w:r>
    </w:p>
    <w:p>
      <w:pPr>
        <w:spacing w:after="0" w:line="220" w:lineRule="exact"/>
        <w:rPr>
          <w:sz w:val="24"/>
          <w:szCs w:val="24"/>
          <w:color w:val="auto"/>
        </w:rPr>
      </w:pPr>
    </w:p>
    <w:p>
      <w:pPr>
        <w:jc w:val="both"/>
        <w:ind w:firstLine="380"/>
        <w:spacing w:after="0" w:line="287"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 (b)(1) only permits the submission in paper of a Form 6-K if submitted solely to provide an attached annual report to security</w:t>
      </w:r>
      <w:r>
        <w:rPr>
          <w:rFonts w:ascii="Arial" w:cs="Arial" w:eastAsia="Arial" w:hAnsi="Arial"/>
          <w:sz w:val="17"/>
          <w:szCs w:val="17"/>
          <w:b w:val="1"/>
          <w:bCs w:val="1"/>
          <w:color w:val="auto"/>
        </w:rPr>
        <w:t xml:space="preserve"> </w:t>
      </w:r>
      <w:r>
        <w:rPr>
          <w:rFonts w:ascii="Arial" w:cs="Arial" w:eastAsia="Arial" w:hAnsi="Arial"/>
          <w:sz w:val="17"/>
          <w:szCs w:val="17"/>
          <w:color w:val="auto"/>
        </w:rPr>
        <w:t>holders.</w:t>
      </w:r>
    </w:p>
    <w:p>
      <w:pPr>
        <w:spacing w:after="0" w:line="166" w:lineRule="exact"/>
        <w:rPr>
          <w:sz w:val="24"/>
          <w:szCs w:val="24"/>
          <w:color w:val="auto"/>
        </w:rPr>
      </w:pPr>
    </w:p>
    <w:p>
      <w:pPr>
        <w:ind w:left="340"/>
        <w:spacing w:after="0"/>
        <w:rPr>
          <w:sz w:val="20"/>
          <w:szCs w:val="20"/>
          <w:color w:val="auto"/>
        </w:rPr>
      </w:pPr>
      <w:r>
        <w:rPr>
          <w:rFonts w:ascii="Arial" w:cs="Arial" w:eastAsia="Arial" w:hAnsi="Arial"/>
          <w:sz w:val="17"/>
          <w:szCs w:val="17"/>
          <w:color w:val="auto"/>
        </w:rPr>
        <w:t>Indicate by check mark if the registrant is submitting the Form 6-K in paper as permitted by Regulation S-T Rule 101 (b)(7):</w:t>
      </w:r>
    </w:p>
    <w:p>
      <w:pPr>
        <w:spacing w:after="0" w:line="220" w:lineRule="exact"/>
        <w:rPr>
          <w:sz w:val="24"/>
          <w:szCs w:val="24"/>
          <w:color w:val="auto"/>
        </w:rPr>
      </w:pPr>
    </w:p>
    <w:p>
      <w:pPr>
        <w:jc w:val="both"/>
        <w:ind w:firstLine="367"/>
        <w:spacing w:after="0" w:line="265"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101(b)(7) only permits the submission in paper of a Form 6-K if submitted to furnish a report or other document that the registrant</w:t>
      </w:r>
      <w:r>
        <w:rPr>
          <w:rFonts w:ascii="Arial" w:cs="Arial" w:eastAsia="Arial" w:hAnsi="Arial"/>
          <w:sz w:val="17"/>
          <w:szCs w:val="17"/>
          <w:b w:val="1"/>
          <w:bCs w:val="1"/>
          <w:color w:val="auto"/>
        </w:rPr>
        <w:t xml:space="preserve"> </w:t>
      </w:r>
      <w:r>
        <w:rPr>
          <w:rFonts w:ascii="Arial" w:cs="Arial" w:eastAsia="Arial" w:hAnsi="Arial"/>
          <w:sz w:val="17"/>
          <w:szCs w:val="17"/>
          <w:color w:val="auto"/>
        </w:rPr>
        <w:t>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83" w:lineRule="exact"/>
        <w:rPr>
          <w:sz w:val="24"/>
          <w:szCs w:val="24"/>
          <w:color w:val="auto"/>
        </w:rPr>
      </w:pPr>
    </w:p>
    <w:p>
      <w:pPr>
        <w:ind w:firstLine="371"/>
        <w:spacing w:after="0" w:line="223" w:lineRule="exact"/>
        <w:rPr>
          <w:sz w:val="20"/>
          <w:szCs w:val="20"/>
          <w:color w:val="auto"/>
        </w:rPr>
      </w:pPr>
      <w:r>
        <w:rPr>
          <w:rFonts w:ascii="Arial" w:cs="Arial" w:eastAsia="Arial" w:hAnsi="Arial"/>
          <w:sz w:val="17"/>
          <w:szCs w:val="17"/>
          <w:color w:val="auto"/>
        </w:rPr>
        <w:t xml:space="preserve">Indicate by check mark whether the registrant by furnishing the information contained in this Form is also thereby furnishing the information to the Commission pursuant to Rule 12g3-2(b) under the Securities Exchange Act of 1934. Yes o No </w:t>
      </w:r>
      <w:r>
        <w:rPr>
          <w:rFonts w:ascii="MS PGothic" w:cs="MS PGothic" w:eastAsia="MS PGothic" w:hAnsi="MS PGothic"/>
          <w:sz w:val="17"/>
          <w:szCs w:val="17"/>
          <w:color w:val="auto"/>
        </w:rPr>
        <w:t>☒</w:t>
      </w:r>
    </w:p>
    <w:p>
      <w:pPr>
        <w:sectPr>
          <w:pgSz w:w="11900" w:h="16838" w:orient="portrait"/>
          <w:cols w:equalWidth="0" w:num="1">
            <w:col w:w="11420"/>
          </w:cols>
          <w:pgMar w:left="240" w:top="459" w:right="239" w:bottom="1440" w:gutter="0" w:footer="0" w:header="0"/>
        </w:sectPr>
      </w:pPr>
    </w:p>
    <w:p>
      <w:pPr>
        <w:spacing w:after="0" w:line="185" w:lineRule="exact"/>
        <w:rPr>
          <w:sz w:val="24"/>
          <w:szCs w:val="24"/>
          <w:color w:val="auto"/>
        </w:rPr>
      </w:pPr>
    </w:p>
    <w:p>
      <w:pPr>
        <w:ind w:left="340"/>
        <w:spacing w:after="0"/>
        <w:rPr>
          <w:sz w:val="20"/>
          <w:szCs w:val="20"/>
          <w:color w:val="auto"/>
        </w:rPr>
      </w:pPr>
      <w:r>
        <w:rPr>
          <w:rFonts w:ascii="Arial" w:cs="Arial" w:eastAsia="Arial" w:hAnsi="Arial"/>
          <w:sz w:val="15"/>
          <w:szCs w:val="15"/>
          <w:color w:val="auto"/>
        </w:rPr>
        <w:t>If "Yes" is marked, indicate below the file number assigned to the registrant in connection with Rule 12g3-2(b): 82-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337185</wp:posOffset>
            </wp:positionV>
            <wp:extent cx="725043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50430" cy="825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353695</wp:posOffset>
            </wp:positionV>
            <wp:extent cx="7250430" cy="330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50430" cy="33020"/>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518160</wp:posOffset>
            </wp:positionV>
            <wp:extent cx="7254875" cy="209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165" w:lineRule="exact"/>
        <w:rPr>
          <w:sz w:val="24"/>
          <w:szCs w:val="24"/>
          <w:color w:val="auto"/>
        </w:rPr>
      </w:pPr>
    </w:p>
    <w:p>
      <w:pPr>
        <w:spacing w:after="0"/>
        <w:rPr>
          <w:sz w:val="20"/>
          <w:szCs w:val="20"/>
          <w:color w:val="auto"/>
        </w:rPr>
      </w:pPr>
      <w:r>
        <w:rPr>
          <w:rFonts w:ascii="Arial" w:cs="Arial" w:eastAsia="Arial" w:hAnsi="Arial"/>
          <w:sz w:val="14"/>
          <w:szCs w:val="14"/>
          <w:color w:val="auto"/>
        </w:rPr>
        <w:t>.</w:t>
      </w:r>
    </w:p>
    <w:p>
      <w:pPr>
        <w:sectPr>
          <w:pgSz w:w="11900" w:h="16838" w:orient="portrait"/>
          <w:cols w:equalWidth="0" w:num="2">
            <w:col w:w="8360" w:space="720"/>
            <w:col w:w="2340"/>
          </w:cols>
          <w:pgMar w:left="240" w:top="459" w:right="239" w:bottom="1440" w:gutter="0" w:footer="0" w:header="0"/>
          <w:type w:val="continuous"/>
        </w:sectPr>
      </w:pPr>
    </w:p>
    <w:bookmarkStart w:id="1" w:name="page2"/>
    <w:bookmarkEnd w:id="1"/>
    <w:p>
      <w:pPr>
        <w:jc w:val="center"/>
        <w:ind w:right="39"/>
        <w:spacing w:after="0"/>
        <w:rPr>
          <w:sz w:val="20"/>
          <w:szCs w:val="20"/>
          <w:color w:val="auto"/>
        </w:rPr>
      </w:pPr>
      <w:r>
        <w:rPr>
          <w:rFonts w:ascii="Arial" w:cs="Arial" w:eastAsia="Arial" w:hAnsi="Arial"/>
          <w:sz w:val="17"/>
          <w:szCs w:val="17"/>
          <w:b w:val="1"/>
          <w:bCs w:val="1"/>
          <w:color w:val="auto"/>
        </w:rPr>
        <w:t>EXHIBITS</w:t>
      </w:r>
    </w:p>
    <w:p>
      <w:pPr>
        <w:spacing w:after="0" w:line="224" w:lineRule="exact"/>
        <w:rPr>
          <w:sz w:val="20"/>
          <w:szCs w:val="20"/>
          <w:color w:val="auto"/>
        </w:rPr>
      </w:pPr>
    </w:p>
    <w:p>
      <w:pPr>
        <w:ind w:left="40"/>
        <w:spacing w:after="0"/>
        <w:tabs>
          <w:tab w:leader="none" w:pos="4440" w:val="left"/>
        </w:tabs>
        <w:rPr>
          <w:sz w:val="20"/>
          <w:szCs w:val="20"/>
          <w:color w:val="auto"/>
        </w:rPr>
      </w:pPr>
      <w:r>
        <w:rPr>
          <w:rFonts w:ascii="Arial" w:cs="Arial" w:eastAsia="Arial" w:hAnsi="Arial"/>
          <w:sz w:val="13"/>
          <w:szCs w:val="13"/>
          <w:b w:val="1"/>
          <w:bCs w:val="1"/>
          <w:color w:val="auto"/>
        </w:rPr>
        <w:t>Exhibit No.</w:t>
      </w:r>
      <w:r>
        <w:rPr>
          <w:sz w:val="20"/>
          <w:szCs w:val="20"/>
          <w:color w:val="auto"/>
        </w:rPr>
        <w:tab/>
      </w:r>
      <w:r>
        <w:rPr>
          <w:rFonts w:ascii="Arial" w:cs="Arial" w:eastAsia="Arial" w:hAnsi="Arial"/>
          <w:sz w:val="11"/>
          <w:szCs w:val="11"/>
          <w:b w:val="1"/>
          <w:bCs w:val="1"/>
          <w:color w:val="auto"/>
        </w:rPr>
        <w:t>Exhibit 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-34290</wp:posOffset>
            </wp:positionH>
            <wp:positionV relativeFrom="paragraph">
              <wp:posOffset>5080</wp:posOffset>
            </wp:positionV>
            <wp:extent cx="579374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793740" cy="8255"/>
                    </a:xfrm>
                    <a:prstGeom prst="rect">
                      <a:avLst/>
                    </a:prstGeom>
                    <a:noFill/>
                  </pic:spPr>
                </pic:pic>
              </a:graphicData>
            </a:graphic>
          </wp:anchor>
        </w:drawing>
      </w:r>
    </w:p>
    <w:p>
      <w:pPr>
        <w:ind w:left="460"/>
        <w:spacing w:after="0"/>
        <w:tabs>
          <w:tab w:leader="none" w:pos="900" w:val="left"/>
        </w:tabs>
        <w:rPr>
          <w:sz w:val="20"/>
          <w:szCs w:val="20"/>
          <w:color w:val="auto"/>
        </w:rPr>
      </w:pPr>
      <w:r>
        <w:rPr>
          <w:rFonts w:ascii="Arial" w:cs="Arial" w:eastAsia="Arial" w:hAnsi="Arial"/>
          <w:sz w:val="17"/>
          <w:szCs w:val="17"/>
          <w:color w:val="auto"/>
        </w:rPr>
        <w:t>99.1</w:t>
      </w:r>
      <w:r>
        <w:rPr>
          <w:sz w:val="20"/>
          <w:szCs w:val="20"/>
          <w:color w:val="auto"/>
        </w:rPr>
        <w:tab/>
      </w:r>
      <w:r>
        <w:rPr>
          <w:rFonts w:ascii="Arial" w:cs="Arial" w:eastAsia="Arial" w:hAnsi="Arial"/>
          <w:sz w:val="15"/>
          <w:szCs w:val="15"/>
          <w:color w:val="auto"/>
        </w:rPr>
        <w:t>First Quarter Report</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-760730</wp:posOffset>
            </wp:positionH>
            <wp:positionV relativeFrom="paragraph">
              <wp:posOffset>145415</wp:posOffset>
            </wp:positionV>
            <wp:extent cx="7254875" cy="209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019"/>
          </w:cols>
          <w:pgMar w:left="1440" w:top="337" w:right="1440" w:bottom="1440" w:gutter="0" w:footer="0" w:header="0"/>
        </w:sectPr>
      </w:pPr>
    </w:p>
    <w:bookmarkStart w:id="2" w:name="page3"/>
    <w:bookmarkEnd w:id="2"/>
    <w:p>
      <w:pPr>
        <w:jc w:val="center"/>
        <w:ind w:right="40"/>
        <w:spacing w:after="0"/>
        <w:rPr>
          <w:sz w:val="20"/>
          <w:szCs w:val="20"/>
          <w:color w:val="auto"/>
        </w:rPr>
      </w:pPr>
      <w:r>
        <w:rPr>
          <w:rFonts w:ascii="Arial" w:cs="Arial" w:eastAsia="Arial" w:hAnsi="Arial"/>
          <w:sz w:val="17"/>
          <w:szCs w:val="17"/>
          <w:b w:val="1"/>
          <w:bCs w:val="1"/>
          <w:color w:val="auto"/>
        </w:rPr>
        <w:t>SIGNATURES</w:t>
      </w:r>
    </w:p>
    <w:p>
      <w:pPr>
        <w:spacing w:after="0" w:line="228" w:lineRule="exact"/>
        <w:rPr>
          <w:sz w:val="20"/>
          <w:szCs w:val="20"/>
          <w:color w:val="auto"/>
        </w:rPr>
      </w:pPr>
    </w:p>
    <w:p>
      <w:pPr>
        <w:ind w:firstLine="440"/>
        <w:spacing w:after="0" w:line="282" w:lineRule="auto"/>
        <w:rPr>
          <w:sz w:val="20"/>
          <w:szCs w:val="20"/>
          <w:color w:val="auto"/>
        </w:rPr>
      </w:pPr>
      <w:r>
        <w:rPr>
          <w:rFonts w:ascii="Arial" w:cs="Arial" w:eastAsia="Arial" w:hAnsi="Arial"/>
          <w:sz w:val="17"/>
          <w:szCs w:val="17"/>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p>
      <w:pPr>
        <w:ind w:left="4560"/>
        <w:spacing w:after="0"/>
        <w:rPr>
          <w:sz w:val="20"/>
          <w:szCs w:val="20"/>
          <w:color w:val="auto"/>
        </w:rPr>
      </w:pPr>
      <w:r>
        <w:rPr>
          <w:rFonts w:ascii="Arial" w:cs="Arial" w:eastAsia="Arial" w:hAnsi="Arial"/>
          <w:sz w:val="17"/>
          <w:szCs w:val="17"/>
          <w:u w:val="single" w:color="auto"/>
          <w:color w:val="auto"/>
        </w:rPr>
        <w:t>AGNICO EAGLE MINES LIMITED</w:t>
      </w:r>
    </w:p>
    <w:p>
      <w:pPr>
        <w:spacing w:after="0" w:line="20" w:lineRule="exact"/>
        <w:rPr>
          <w:sz w:val="20"/>
          <w:szCs w:val="20"/>
          <w:color w:val="auto"/>
        </w:rPr>
      </w:pPr>
    </w:p>
    <w:p>
      <w:pPr>
        <w:ind w:left="5580"/>
        <w:spacing w:after="0"/>
        <w:rPr>
          <w:sz w:val="20"/>
          <w:szCs w:val="20"/>
          <w:color w:val="auto"/>
        </w:rPr>
      </w:pPr>
      <w:r>
        <w:rPr>
          <w:rFonts w:ascii="Arial" w:cs="Arial" w:eastAsia="Arial" w:hAnsi="Arial"/>
          <w:sz w:val="17"/>
          <w:szCs w:val="17"/>
          <w:color w:val="auto"/>
        </w:rPr>
        <w:t>(Registrant)</w:t>
      </w:r>
    </w:p>
    <w:p>
      <w:pPr>
        <w:spacing w:after="0" w:line="244" w:lineRule="exact"/>
        <w:rPr>
          <w:sz w:val="20"/>
          <w:szCs w:val="20"/>
          <w:color w:val="auto"/>
        </w:rPr>
      </w:pPr>
    </w:p>
    <w:p>
      <w:pPr>
        <w:spacing w:after="0"/>
        <w:tabs>
          <w:tab w:leader="none" w:pos="4540" w:val="left"/>
          <w:tab w:leader="none" w:pos="4920" w:val="left"/>
        </w:tabs>
        <w:rPr>
          <w:sz w:val="20"/>
          <w:szCs w:val="20"/>
          <w:color w:val="auto"/>
        </w:rPr>
      </w:pPr>
      <w:r>
        <w:rPr>
          <w:rFonts w:ascii="Arial" w:cs="Arial" w:eastAsia="Arial" w:hAnsi="Arial"/>
          <w:sz w:val="17"/>
          <w:szCs w:val="17"/>
          <w:color w:val="auto"/>
        </w:rPr>
        <w:t>Date: April 29, 2016</w:t>
      </w:r>
      <w:r>
        <w:rPr>
          <w:sz w:val="20"/>
          <w:szCs w:val="20"/>
          <w:color w:val="auto"/>
        </w:rPr>
        <w:tab/>
      </w:r>
      <w:r>
        <w:rPr>
          <w:rFonts w:ascii="Arial" w:cs="Arial" w:eastAsia="Arial" w:hAnsi="Arial"/>
          <w:sz w:val="17"/>
          <w:szCs w:val="17"/>
          <w:color w:val="auto"/>
        </w:rPr>
        <w:t>By:</w:t>
      </w:r>
      <w:r>
        <w:rPr>
          <w:sz w:val="20"/>
          <w:szCs w:val="20"/>
          <w:color w:val="auto"/>
        </w:rPr>
        <w:tab/>
      </w:r>
      <w:r>
        <w:rPr>
          <w:rFonts w:ascii="Arial" w:cs="Arial" w:eastAsia="Arial" w:hAnsi="Arial"/>
          <w:sz w:val="15"/>
          <w:szCs w:val="15"/>
          <w:color w:val="auto"/>
        </w:rPr>
        <w:t>/s/ R. Gregory Laing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3133090</wp:posOffset>
            </wp:positionH>
            <wp:positionV relativeFrom="paragraph">
              <wp:posOffset>73025</wp:posOffset>
            </wp:positionV>
            <wp:extent cx="268033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680335" cy="8255"/>
                    </a:xfrm>
                    <a:prstGeom prst="rect">
                      <a:avLst/>
                    </a:prstGeom>
                    <a:noFill/>
                  </pic:spPr>
                </pic:pic>
              </a:graphicData>
            </a:graphic>
          </wp:anchor>
        </w:drawing>
      </w:r>
    </w:p>
    <w:p>
      <w:pPr>
        <w:spacing w:after="0" w:line="178" w:lineRule="exact"/>
        <w:rPr>
          <w:sz w:val="20"/>
          <w:szCs w:val="20"/>
          <w:color w:val="auto"/>
        </w:rPr>
      </w:pPr>
    </w:p>
    <w:p>
      <w:pPr>
        <w:ind w:left="4940"/>
        <w:spacing w:after="0"/>
        <w:rPr>
          <w:sz w:val="20"/>
          <w:szCs w:val="20"/>
          <w:color w:val="auto"/>
        </w:rPr>
      </w:pPr>
      <w:r>
        <w:rPr>
          <w:rFonts w:ascii="Arial" w:cs="Arial" w:eastAsia="Arial" w:hAnsi="Arial"/>
          <w:sz w:val="17"/>
          <w:szCs w:val="17"/>
          <w:color w:val="auto"/>
        </w:rPr>
        <w:t>R. Gregory Laing</w:t>
      </w:r>
    </w:p>
    <w:p>
      <w:pPr>
        <w:spacing w:after="0" w:line="20" w:lineRule="exact"/>
        <w:rPr>
          <w:sz w:val="20"/>
          <w:szCs w:val="20"/>
          <w:color w:val="auto"/>
        </w:rPr>
      </w:pPr>
    </w:p>
    <w:p>
      <w:pPr>
        <w:ind w:left="4940"/>
        <w:spacing w:after="0"/>
        <w:rPr>
          <w:sz w:val="20"/>
          <w:szCs w:val="20"/>
          <w:color w:val="auto"/>
        </w:rPr>
      </w:pPr>
      <w:r>
        <w:rPr>
          <w:rFonts w:ascii="Arial" w:cs="Arial" w:eastAsia="Arial" w:hAnsi="Arial"/>
          <w:sz w:val="17"/>
          <w:szCs w:val="17"/>
          <w:color w:val="auto"/>
        </w:rPr>
        <w:t>General Counsel, Sr. Vice-President, Legal</w:t>
      </w:r>
    </w:p>
    <w:p>
      <w:pPr>
        <w:spacing w:after="0" w:line="14" w:lineRule="exact"/>
        <w:rPr>
          <w:sz w:val="20"/>
          <w:szCs w:val="20"/>
          <w:color w:val="auto"/>
        </w:rPr>
      </w:pPr>
    </w:p>
    <w:p>
      <w:pPr>
        <w:ind w:left="4940"/>
        <w:spacing w:after="0"/>
        <w:rPr>
          <w:sz w:val="20"/>
          <w:szCs w:val="20"/>
          <w:color w:val="auto"/>
        </w:rPr>
      </w:pPr>
      <w:r>
        <w:rPr>
          <w:rFonts w:ascii="Arial" w:cs="Arial" w:eastAsia="Arial" w:hAnsi="Arial"/>
          <w:sz w:val="17"/>
          <w:szCs w:val="17"/>
          <w:color w:val="auto"/>
        </w:rPr>
        <w:t>and Corporate Secretary</w:t>
      </w:r>
    </w:p>
    <w:p>
      <w:pPr>
        <w:spacing w:after="0" w:line="218" w:lineRule="exact"/>
        <w:rPr>
          <w:sz w:val="20"/>
          <w:szCs w:val="20"/>
          <w:color w:val="auto"/>
        </w:rPr>
      </w:pPr>
    </w:p>
    <w:p>
      <w:pPr>
        <w:spacing w:after="0" w:line="282" w:lineRule="auto"/>
        <w:rPr>
          <w:sz w:val="20"/>
          <w:szCs w:val="20"/>
          <w:color w:val="auto"/>
        </w:rPr>
      </w:pPr>
      <w:r>
        <w:rPr>
          <w:rFonts w:ascii="Arial" w:cs="Arial" w:eastAsia="Arial" w:hAnsi="Arial"/>
          <w:sz w:val="17"/>
          <w:szCs w:val="17"/>
          <w:color w:val="auto"/>
        </w:rPr>
        <w:t>Exhibit Number 99.1 submitted with this Form 6-K is hereby incorporated by reference into Agnico Eagle Mines Limited's Registration Statements on Form F-10 (Reg. No. 333-189715), Form F-3D (Reg. No. 333-190888) and Form S-8 (Reg. Nos. 333-130339 and 333-152004).</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 w:name="page4"/>
    <w:bookmarkEnd w:id="3"/>
    <w:p>
      <w:pPr>
        <w:spacing w:after="0"/>
        <w:rPr>
          <w:sz w:val="20"/>
          <w:szCs w:val="20"/>
          <w:color w:val="auto"/>
        </w:rPr>
      </w:pPr>
      <w:r>
        <w:rPr>
          <w:rFonts w:ascii="Arial" w:cs="Arial" w:eastAsia="Arial" w:hAnsi="Arial"/>
          <w:sz w:val="21"/>
          <w:szCs w:val="21"/>
          <w:color w:val="auto"/>
        </w:rPr>
        <w:t>QuickLinks</w:t>
      </w:r>
    </w:p>
    <w:p>
      <w:pPr>
        <w:spacing w:after="0" w:line="217" w:lineRule="exact"/>
        <w:rPr>
          <w:sz w:val="20"/>
          <w:szCs w:val="20"/>
          <w:color w:val="auto"/>
        </w:rPr>
      </w:pPr>
    </w:p>
    <w:p>
      <w:pPr>
        <w:spacing w:after="0"/>
        <w:rPr>
          <w:rFonts w:ascii="Arial" w:cs="Arial" w:eastAsia="Arial" w:hAnsi="Arial"/>
          <w:sz w:val="17"/>
          <w:szCs w:val="17"/>
          <w:u w:val="single" w:color="auto"/>
          <w:color w:val="0000EE"/>
        </w:rPr>
      </w:pPr>
      <w:hyperlink w:anchor="page2">
        <w:r>
          <w:rPr>
            <w:rFonts w:ascii="Arial" w:cs="Arial" w:eastAsia="Arial" w:hAnsi="Arial"/>
            <w:sz w:val="17"/>
            <w:szCs w:val="17"/>
            <w:u w:val="single" w:color="auto"/>
            <w:color w:val="0000EE"/>
          </w:rPr>
          <w:t>EXHIBITS</w:t>
        </w:r>
      </w:hyperlink>
    </w:p>
    <w:p>
      <w:pPr>
        <w:spacing w:after="0" w:line="20" w:lineRule="exact"/>
        <w:rPr>
          <w:sz w:val="20"/>
          <w:szCs w:val="20"/>
          <w:color w:val="auto"/>
        </w:rPr>
      </w:pPr>
    </w:p>
    <w:p>
      <w:pPr>
        <w:spacing w:after="0"/>
        <w:rPr>
          <w:rFonts w:ascii="Arial" w:cs="Arial" w:eastAsia="Arial" w:hAnsi="Arial"/>
          <w:sz w:val="15"/>
          <w:szCs w:val="15"/>
          <w:u w:val="single" w:color="auto"/>
          <w:color w:val="0000EE"/>
        </w:rPr>
      </w:pPr>
      <w:hyperlink w:anchor="page3">
        <w:r>
          <w:rPr>
            <w:rFonts w:ascii="Arial" w:cs="Arial" w:eastAsia="Arial" w:hAnsi="Arial"/>
            <w:sz w:val="15"/>
            <w:szCs w:val="15"/>
            <w:u w:val="single" w:color="auto"/>
            <w:color w:val="0000EE"/>
          </w:rPr>
          <w:t>SIGNATURES</w:t>
        </w:r>
      </w:hyperlink>
    </w:p>
    <w:p>
      <w:pPr>
        <w:sectPr>
          <w:pgSz w:w="11900" w:h="16838" w:orient="portrait"/>
          <w:cols w:equalWidth="0" w:num="1">
            <w:col w:w="10219"/>
          </w:cols>
          <w:pgMar w:left="240" w:top="800" w:right="1440" w:bottom="1440" w:gutter="0" w:footer="0" w:header="0"/>
        </w:sectPr>
      </w:pPr>
    </w:p>
    <w:bookmarkStart w:id="4" w:name="page5"/>
    <w:bookmarkEnd w:id="4"/>
    <w:p>
      <w:pPr>
        <w:spacing w:after="0"/>
        <w:rPr>
          <w:rFonts w:ascii="Arial" w:cs="Arial" w:eastAsia="Arial" w:hAnsi="Arial"/>
          <w:sz w:val="21"/>
          <w:szCs w:val="21"/>
          <w:color w:val="0000EE"/>
        </w:rPr>
      </w:pPr>
      <w:hyperlink w:anchor="page46">
        <w:r>
          <w:rPr>
            <w:rFonts w:ascii="Arial" w:cs="Arial" w:eastAsia="Arial" w:hAnsi="Arial"/>
            <w:sz w:val="21"/>
            <w:szCs w:val="21"/>
            <w:u w:val="single" w:color="auto"/>
            <w:color w:val="0000EE"/>
          </w:rPr>
          <w:t>QuickLinks</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21"/>
          <w:szCs w:val="21"/>
          <w:color w:val="000000"/>
        </w:rPr>
        <w:t>Click here to rapidly navigate through this document</w:t>
      </w:r>
    </w:p>
    <w:p>
      <w:pPr>
        <w:spacing w:after="0" w:line="200" w:lineRule="exact"/>
        <w:rPr>
          <w:sz w:val="20"/>
          <w:szCs w:val="20"/>
          <w:color w:val="auto"/>
        </w:rPr>
      </w:pPr>
    </w:p>
    <w:p>
      <w:pPr>
        <w:spacing w:after="0" w:line="223" w:lineRule="exact"/>
        <w:rPr>
          <w:sz w:val="20"/>
          <w:szCs w:val="20"/>
          <w:color w:val="auto"/>
        </w:rPr>
      </w:pPr>
    </w:p>
    <w:p>
      <w:pPr>
        <w:jc w:val="right"/>
        <w:spacing w:after="0"/>
        <w:rPr>
          <w:sz w:val="20"/>
          <w:szCs w:val="20"/>
          <w:color w:val="auto"/>
        </w:rPr>
      </w:pPr>
      <w:r>
        <w:rPr>
          <w:rFonts w:ascii="Arial" w:cs="Arial" w:eastAsia="Arial" w:hAnsi="Arial"/>
          <w:sz w:val="17"/>
          <w:szCs w:val="17"/>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147955</wp:posOffset>
            </wp:positionV>
            <wp:extent cx="7314565" cy="21520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314565" cy="21520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4120"/>
        <w:spacing w:after="0"/>
        <w:rPr>
          <w:sz w:val="20"/>
          <w:szCs w:val="20"/>
          <w:color w:val="auto"/>
        </w:rPr>
      </w:pPr>
      <w:r>
        <w:rPr>
          <w:rFonts w:ascii="Arial" w:cs="Arial" w:eastAsia="Arial" w:hAnsi="Arial"/>
          <w:sz w:val="31"/>
          <w:szCs w:val="31"/>
          <w:b w:val="1"/>
          <w:bCs w:val="1"/>
          <w:color w:val="auto"/>
        </w:rPr>
        <w:t>First Quarter Report 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388620</wp:posOffset>
            </wp:positionV>
            <wp:extent cx="7254875" cy="209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380"/>
          </w:cols>
          <w:pgMar w:left="240" w:top="354" w:right="279" w:bottom="1440" w:gutter="0" w:footer="0" w:header="0"/>
        </w:sectPr>
      </w:pPr>
    </w:p>
    <w:bookmarkStart w:id="5" w:name="page6"/>
    <w:bookmarkEnd w:id="5"/>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For the Three Months Ended March 31, 2016</w:t>
      </w:r>
    </w:p>
    <w:p>
      <w:pPr>
        <w:spacing w:after="0" w:line="218" w:lineRule="exact"/>
        <w:rPr>
          <w:sz w:val="20"/>
          <w:szCs w:val="20"/>
          <w:color w:val="auto"/>
        </w:rPr>
      </w:pPr>
    </w:p>
    <w:p>
      <w:pPr>
        <w:jc w:val="both"/>
        <w:ind w:firstLine="428"/>
        <w:spacing w:after="0" w:line="260" w:lineRule="auto"/>
        <w:rPr>
          <w:sz w:val="20"/>
          <w:szCs w:val="20"/>
          <w:color w:val="auto"/>
        </w:rPr>
      </w:pPr>
      <w:r>
        <w:rPr>
          <w:rFonts w:ascii="Arial" w:cs="Arial" w:eastAsia="Arial" w:hAnsi="Arial"/>
          <w:sz w:val="17"/>
          <w:szCs w:val="17"/>
          <w:color w:val="auto"/>
        </w:rPr>
        <w:t>This Management's Discussion and Analysis ("MD&amp;A") dated April 29, 2016 of Agnico Eagle Mines Limited ("Agnico Eagle" or the "Company") should be read in conjunction with the Company's condensed interim consolidated financial statements for the three months ended March 31, 2016 that were prepared in accordance with International Financial Reporting Standards ("IFRS") as issued by the International Accounting Standards Board ("IASB"). This MD&amp;A should also be read in conjunction with the MD&amp;A and consolidated financial statements included in the Company's Annual Report on Form 40-F for the year ended December 31, 2015 (the "Form 40-F"), prepared in accordance with IFRS. The condensed interim consolidated financial statements and this MD&amp;A are presented in United States dollars ("US dollars", "$" or "US$") and all units of measurement are expressed using the metric system, unless otherwise specified. Certain information in this MD&amp;A is presented in Canadian dollars ("C$"), Mexican pesos or European Union euros ("Euros" or "€"). Additional information relating to the Company, including the Company's Annual Information Form for the year ended December 31, 2015 (the "AIF"), is available on the Canadian Securities Administrators' (the "CSA") SEDAR website at www.sedar.com.</w:t>
      </w:r>
    </w:p>
    <w:p>
      <w:pPr>
        <w:spacing w:after="0" w:line="18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Business Overview</w:t>
      </w:r>
    </w:p>
    <w:p>
      <w:pPr>
        <w:spacing w:after="0" w:line="228" w:lineRule="exact"/>
        <w:rPr>
          <w:sz w:val="20"/>
          <w:szCs w:val="20"/>
          <w:color w:val="auto"/>
        </w:rPr>
      </w:pPr>
    </w:p>
    <w:p>
      <w:pPr>
        <w:jc w:val="both"/>
        <w:ind w:firstLine="345"/>
        <w:spacing w:after="0" w:line="322" w:lineRule="auto"/>
        <w:rPr>
          <w:sz w:val="20"/>
          <w:szCs w:val="20"/>
          <w:color w:val="auto"/>
        </w:rPr>
      </w:pPr>
      <w:r>
        <w:rPr>
          <w:rFonts w:ascii="Arial" w:cs="Arial" w:eastAsia="Arial" w:hAnsi="Arial"/>
          <w:sz w:val="15"/>
          <w:szCs w:val="15"/>
          <w:color w:val="auto"/>
        </w:rPr>
        <w:t>Agnico Eagle is a senior Canadian gold mining company that has produced precious metals since 1957. The Company's mines are located in Canada, Mexico and Finland, with exploration and development activities in each of these regions as well as in the United States and Sweden. The Company and its shareholders have full exposure to gold prices due to its long-standing policy of no forward gold sales. Agnico Eagle has declared a cash dividend every year since 1983.</w:t>
      </w:r>
    </w:p>
    <w:p>
      <w:pPr>
        <w:spacing w:after="0" w:line="145" w:lineRule="exact"/>
        <w:rPr>
          <w:sz w:val="20"/>
          <w:szCs w:val="20"/>
          <w:color w:val="auto"/>
        </w:rPr>
      </w:pPr>
    </w:p>
    <w:p>
      <w:pPr>
        <w:jc w:val="both"/>
        <w:ind w:firstLine="483"/>
        <w:spacing w:after="0" w:line="282" w:lineRule="auto"/>
        <w:rPr>
          <w:sz w:val="20"/>
          <w:szCs w:val="20"/>
          <w:color w:val="auto"/>
        </w:rPr>
      </w:pPr>
      <w:r>
        <w:rPr>
          <w:rFonts w:ascii="Arial" w:cs="Arial" w:eastAsia="Arial" w:hAnsi="Arial"/>
          <w:sz w:val="17"/>
          <w:szCs w:val="17"/>
          <w:color w:val="auto"/>
        </w:rPr>
        <w:t>Agnico Eagle earns a significant proportion of its revenue and cash flow from the production and sale of gold in both dore bar and concentrate form. The remainder of revenue and cash flow is generated by the production and sale of by-product metals, primarily silver, zinc and copper.</w:t>
      </w:r>
    </w:p>
    <w:p>
      <w:pPr>
        <w:spacing w:after="0" w:line="170" w:lineRule="exact"/>
        <w:rPr>
          <w:sz w:val="20"/>
          <w:szCs w:val="20"/>
          <w:color w:val="auto"/>
        </w:rPr>
      </w:pPr>
    </w:p>
    <w:p>
      <w:pPr>
        <w:jc w:val="both"/>
        <w:ind w:firstLine="417"/>
        <w:spacing w:after="0" w:line="270" w:lineRule="auto"/>
        <w:rPr>
          <w:sz w:val="20"/>
          <w:szCs w:val="20"/>
          <w:color w:val="auto"/>
        </w:rPr>
      </w:pPr>
      <w:r>
        <w:rPr>
          <w:rFonts w:ascii="Arial" w:cs="Arial" w:eastAsia="Arial" w:hAnsi="Arial"/>
          <w:sz w:val="17"/>
          <w:szCs w:val="17"/>
          <w:color w:val="auto"/>
        </w:rPr>
        <w:t>Agnico Eagle's nine mines are located in what the Company believes to be politically stable countries that are supportive of the mining industry. The political stability of the regions in which Agnico Eagle operates helps to provide confidence in its current and future prospects and profitability. This is important for Agnico Eagle as it believes that many of its new mines and recently acquired mining projects have long-term mining potential.</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Financial and Operating Results</w:t>
      </w:r>
    </w:p>
    <w:p>
      <w:pPr>
        <w:spacing w:after="0" w:line="22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Balance Sheet Review</w:t>
      </w:r>
    </w:p>
    <w:p>
      <w:pPr>
        <w:spacing w:after="0" w:line="224" w:lineRule="exact"/>
        <w:rPr>
          <w:sz w:val="20"/>
          <w:szCs w:val="20"/>
          <w:color w:val="auto"/>
        </w:rPr>
      </w:pPr>
    </w:p>
    <w:p>
      <w:pPr>
        <w:jc w:val="both"/>
        <w:ind w:firstLine="408"/>
        <w:spacing w:after="0" w:line="298" w:lineRule="auto"/>
        <w:rPr>
          <w:sz w:val="20"/>
          <w:szCs w:val="20"/>
          <w:color w:val="auto"/>
        </w:rPr>
      </w:pPr>
      <w:r>
        <w:rPr>
          <w:rFonts w:ascii="Arial" w:cs="Arial" w:eastAsia="Arial" w:hAnsi="Arial"/>
          <w:sz w:val="15"/>
          <w:szCs w:val="15"/>
          <w:color w:val="auto"/>
        </w:rPr>
        <w:t>Total assets as at March 31, 2016 of $6,716.6 million increased by $33.4 million compared with December 31, 2015 total assets of $6,683.2 million. Cash and cash equivalents increased by $38.6 million to $162.7 million between December 31, 2015 and March 31, 2016 primarily due to $64.4 million proceeds on the exercise of stock options and $21.2 million proceeds from common shares issued, partially offset by a $55.0 million net repayment of long-term debt during the first quarter of 2016. Inventories decreased to $435.4 million at March 31, 2016 compared with $462.0 million at December 31, 2015 primarily due to planned supplies drawdowns at the Meadowbank mine that were delivered during the summer barge shipping season. Available-for-sale securities increased from $31.9 million at December 31, 2015 to $66.4 million at March 31, 2016 due to $29.3 million in unrealized fair value gains and $5.4 million in new investments purchased during the first quarter of 2016, partially offset by $0.2 million in disposals. Other assets increased by $10.3 million from $67.2 million at December 31, 2015 to $77.5 million at March 31, 2016 primarily due to updated mine sequencing plans at the Kittila and Canadian Malartic mines resulting in the reclassification of ore stockpiles from short-term to long-term. Property, plant and mine development decreased from $5,089.0 million at December 31, 2015 to $5,069.2 million at March 31, 2016 primarily due to amortization expense of $145.6 million, partially offset by capital expenditures totaling $100.7 million during the first quarter of 2016.</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6" w:name="page7"/>
    <w:bookmarkEnd w:id="6"/>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Months Ended March 31, 2016</w:t>
      </w:r>
    </w:p>
    <w:p>
      <w:pPr>
        <w:spacing w:after="0" w:line="218" w:lineRule="exact"/>
        <w:rPr>
          <w:sz w:val="20"/>
          <w:szCs w:val="20"/>
          <w:color w:val="auto"/>
        </w:rPr>
      </w:pPr>
    </w:p>
    <w:p>
      <w:pPr>
        <w:jc w:val="both"/>
        <w:ind w:firstLine="410"/>
        <w:spacing w:after="0" w:line="262" w:lineRule="auto"/>
        <w:rPr>
          <w:sz w:val="20"/>
          <w:szCs w:val="20"/>
          <w:color w:val="auto"/>
        </w:rPr>
      </w:pPr>
      <w:r>
        <w:rPr>
          <w:rFonts w:ascii="Arial" w:cs="Arial" w:eastAsia="Arial" w:hAnsi="Arial"/>
          <w:sz w:val="17"/>
          <w:szCs w:val="17"/>
          <w:color w:val="auto"/>
        </w:rPr>
        <w:t>Total liabilities decreased to $2,461.5 million at March 31, 2016 from $2,542.2 million at December 31, 2015 primarily due to $55.0 million in Credit Facility repayments during the first quarter of 2016. A $41.6 million decrease in accounts payable and accrued liabilities between December 31, 2015 and March 31, 2016 was primarily due to a $19.8 million payment during the first quarter of 2016 related to fuel purchases for the Meadowbank mine and the settlement of a $12.7 million securities class action lawsuit settlement which was paid by the Company's insurers. Agnico Eagle's net income taxes payable position of $14.0 million at December 31, 2015 was reduced during the first quarter of 2016 by payments to tax authorities, resulting in a net income taxes payable position of $0.3 million at March 31, 2016.</w:t>
      </w:r>
    </w:p>
    <w:p>
      <w:pPr>
        <w:spacing w:after="0" w:line="188"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Fair Value of Derivative Financial Instruments</w:t>
      </w:r>
    </w:p>
    <w:p>
      <w:pPr>
        <w:spacing w:after="0" w:line="224" w:lineRule="exact"/>
        <w:rPr>
          <w:sz w:val="20"/>
          <w:szCs w:val="20"/>
          <w:color w:val="auto"/>
        </w:rPr>
      </w:pPr>
    </w:p>
    <w:p>
      <w:pPr>
        <w:jc w:val="both"/>
        <w:ind w:firstLine="398"/>
        <w:spacing w:after="0" w:line="265" w:lineRule="auto"/>
        <w:rPr>
          <w:sz w:val="20"/>
          <w:szCs w:val="20"/>
          <w:color w:val="auto"/>
        </w:rPr>
      </w:pPr>
      <w:r>
        <w:rPr>
          <w:rFonts w:ascii="Arial" w:cs="Arial" w:eastAsia="Arial" w:hAnsi="Arial"/>
          <w:sz w:val="17"/>
          <w:szCs w:val="17"/>
          <w:color w:val="auto"/>
        </w:rPr>
        <w:t>The Company occasionally enters into contracts to limit the risk associated with decreased by-product metal prices, increased foreign currency costs (including capital expenditures) and input costs. The contracts act as economic hedges of underlying exposures and are not held for speculative purposes. Agnico Eagle does not use complex derivative contracts to hedge exposures. The fair value of the Company's derivative financial instruments is outlined in the financial instruments note to the condensed interim consolidated financial statements.</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Results of Operations</w:t>
      </w:r>
    </w:p>
    <w:p>
      <w:pPr>
        <w:spacing w:after="0" w:line="224" w:lineRule="exact"/>
        <w:rPr>
          <w:sz w:val="20"/>
          <w:szCs w:val="20"/>
          <w:color w:val="auto"/>
        </w:rPr>
      </w:pPr>
    </w:p>
    <w:p>
      <w:pPr>
        <w:jc w:val="both"/>
        <w:ind w:firstLine="340"/>
        <w:spacing w:after="0" w:line="277" w:lineRule="auto"/>
        <w:rPr>
          <w:sz w:val="20"/>
          <w:szCs w:val="20"/>
          <w:color w:val="auto"/>
        </w:rPr>
      </w:pPr>
      <w:r>
        <w:rPr>
          <w:rFonts w:ascii="Arial" w:cs="Arial" w:eastAsia="Arial" w:hAnsi="Arial"/>
          <w:sz w:val="16"/>
          <w:szCs w:val="16"/>
          <w:color w:val="auto"/>
        </w:rPr>
        <w:t>Agnico Eagle reported net income of $27.8 million, or $0.13 per share, in the first quarter of 2016 compared with net income of $28.7 million, or $0.13 per share, in the first quarter of 2015. Agnico Eagle reported adjusted net income of $25.7 million, or $0.12 per share, in the first quarter of 2016 compared with adjusted net income of $31.4 million, or $0.15 per share, in the first quarter of 2015. In the first quarter of 2016, the operating margin (revenues from mining operations less production costs) increased to $246.6 million from $236.3 million in the first quarter of 2015 primarily due to a 1.8% increase in gold production and a 1.3% decrease in production costs, partially offset by a 0.8% decrease in the average realized price of gold between periods. Gold production increased to 411,336 ounces in the first quarter of 2016 compared with 404,210 ounces in the first quarter of 2015 primarily due to increased throughput levels and higher gold grades at the LaRonde and Canadian Malartic mines and a 25.2% increase in tonnes of ore milled at the Kittila mine. Partially offsetting the overall increase in gold production between the first quarter of 2016 and the first quarter of 2015 was a 18.3% decrease in gold production at the Meadowbank mine primarily due to a 14.3% lower gold grade and a decrease in tonnes of ore milled. Cash provided by operating activities amounted to $145.7 million in the first quarter of 2016 compared with $143.5 million in the first quarter of 2015. Total weighted average cash costs per ounce of gold produced amounted to $573 on a by-product basis and $631 on a co-product basis in the first quarter of 2016 compared with $588 on a by-product basis and $651 on a co-product basis in the first quarter of 2015.</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7" w:name="page8"/>
    <w:bookmarkEnd w:id="7"/>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Months Ended March 31, 2016</w:t>
      </w:r>
    </w:p>
    <w:p>
      <w:pPr>
        <w:spacing w:after="0" w:line="218" w:lineRule="exact"/>
        <w:rPr>
          <w:sz w:val="20"/>
          <w:szCs w:val="20"/>
          <w:color w:val="auto"/>
        </w:rPr>
      </w:pPr>
    </w:p>
    <w:p>
      <w:pPr>
        <w:jc w:val="both"/>
        <w:ind w:firstLine="358"/>
        <w:spacing w:after="0" w:line="282" w:lineRule="auto"/>
        <w:rPr>
          <w:sz w:val="20"/>
          <w:szCs w:val="20"/>
          <w:color w:val="auto"/>
        </w:rPr>
      </w:pPr>
      <w:r>
        <w:rPr>
          <w:rFonts w:ascii="Arial" w:cs="Arial" w:eastAsia="Arial" w:hAnsi="Arial"/>
          <w:sz w:val="17"/>
          <w:szCs w:val="17"/>
          <w:color w:val="auto"/>
        </w:rPr>
        <w:t>The table below sets out variances in the key drivers of net income for the three months ended March 31, 2016 compared with the three months ended March 31, 2015:</w:t>
      </w:r>
    </w:p>
    <w:p>
      <w:pPr>
        <w:spacing w:after="0" w:line="160"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2080" w:type="dxa"/>
            <w:vAlign w:val="bottom"/>
          </w:tcPr>
          <w:p>
            <w:pPr>
              <w:spacing w:after="0"/>
              <w:rPr>
                <w:sz w:val="13"/>
                <w:szCs w:val="13"/>
                <w:color w:val="auto"/>
              </w:rPr>
            </w:pPr>
          </w:p>
        </w:tc>
        <w:tc>
          <w:tcPr>
            <w:tcW w:w="5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2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3"/>
              </w:rPr>
              <w:t>Three Months Ended</w:t>
            </w:r>
          </w:p>
        </w:tc>
        <w:tc>
          <w:tcPr>
            <w:tcW w:w="0" w:type="dxa"/>
            <w:vAlign w:val="bottom"/>
          </w:tcPr>
          <w:p>
            <w:pPr>
              <w:spacing w:after="0"/>
              <w:rPr>
                <w:sz w:val="1"/>
                <w:szCs w:val="1"/>
                <w:color w:val="auto"/>
              </w:rPr>
            </w:pPr>
          </w:p>
        </w:tc>
      </w:tr>
      <w:tr>
        <w:trPr>
          <w:trHeight w:val="144"/>
        </w:trPr>
        <w:tc>
          <w:tcPr>
            <w:tcW w:w="2080" w:type="dxa"/>
            <w:vAlign w:val="bottom"/>
          </w:tcPr>
          <w:p>
            <w:pPr>
              <w:spacing w:after="0"/>
              <w:rPr>
                <w:sz w:val="12"/>
                <w:szCs w:val="12"/>
                <w:color w:val="auto"/>
              </w:rPr>
            </w:pPr>
          </w:p>
        </w:tc>
        <w:tc>
          <w:tcPr>
            <w:tcW w:w="5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20" w:type="dxa"/>
            <w:vAlign w:val="bottom"/>
            <w:gridSpan w:val="2"/>
          </w:tcPr>
          <w:p>
            <w:pPr>
              <w:jc w:val="center"/>
              <w:ind w:right="240"/>
              <w:spacing w:after="0" w:line="144" w:lineRule="exact"/>
              <w:rPr>
                <w:sz w:val="20"/>
                <w:szCs w:val="20"/>
                <w:color w:val="auto"/>
              </w:rPr>
            </w:pPr>
            <w:r>
              <w:rPr>
                <w:rFonts w:ascii="Arial" w:cs="Arial" w:eastAsia="Arial" w:hAnsi="Arial"/>
                <w:sz w:val="13"/>
                <w:szCs w:val="13"/>
                <w:b w:val="1"/>
                <w:bCs w:val="1"/>
                <w:color w:val="auto"/>
                <w:w w:val="92"/>
              </w:rPr>
              <w:t>March 31, 2016</w:t>
            </w:r>
          </w:p>
        </w:tc>
        <w:tc>
          <w:tcPr>
            <w:tcW w:w="0" w:type="dxa"/>
            <w:vAlign w:val="bottom"/>
          </w:tcPr>
          <w:p>
            <w:pPr>
              <w:spacing w:after="0"/>
              <w:rPr>
                <w:sz w:val="1"/>
                <w:szCs w:val="1"/>
                <w:color w:val="auto"/>
              </w:rPr>
            </w:pPr>
          </w:p>
        </w:tc>
      </w:tr>
      <w:tr>
        <w:trPr>
          <w:trHeight w:val="144"/>
        </w:trPr>
        <w:tc>
          <w:tcPr>
            <w:tcW w:w="2080" w:type="dxa"/>
            <w:vAlign w:val="bottom"/>
          </w:tcPr>
          <w:p>
            <w:pPr>
              <w:spacing w:after="0"/>
              <w:rPr>
                <w:sz w:val="12"/>
                <w:szCs w:val="12"/>
                <w:color w:val="auto"/>
              </w:rPr>
            </w:pPr>
          </w:p>
        </w:tc>
        <w:tc>
          <w:tcPr>
            <w:tcW w:w="5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20" w:type="dxa"/>
            <w:vAlign w:val="bottom"/>
            <w:gridSpan w:val="2"/>
          </w:tcPr>
          <w:p>
            <w:pPr>
              <w:jc w:val="center"/>
              <w:ind w:right="240"/>
              <w:spacing w:after="0" w:line="144" w:lineRule="exact"/>
              <w:rPr>
                <w:sz w:val="20"/>
                <w:szCs w:val="20"/>
                <w:color w:val="auto"/>
              </w:rPr>
            </w:pPr>
            <w:r>
              <w:rPr>
                <w:rFonts w:ascii="Arial" w:cs="Arial" w:eastAsia="Arial" w:hAnsi="Arial"/>
                <w:sz w:val="13"/>
                <w:szCs w:val="13"/>
                <w:b w:val="1"/>
                <w:bCs w:val="1"/>
                <w:color w:val="auto"/>
                <w:w w:val="91"/>
              </w:rPr>
              <w:t>vs. Three Months Ended</w:t>
            </w:r>
          </w:p>
        </w:tc>
        <w:tc>
          <w:tcPr>
            <w:tcW w:w="0" w:type="dxa"/>
            <w:vAlign w:val="bottom"/>
          </w:tcPr>
          <w:p>
            <w:pPr>
              <w:spacing w:after="0"/>
              <w:rPr>
                <w:sz w:val="1"/>
                <w:szCs w:val="1"/>
                <w:color w:val="auto"/>
              </w:rPr>
            </w:pPr>
          </w:p>
        </w:tc>
      </w:tr>
      <w:tr>
        <w:trPr>
          <w:trHeight w:val="157"/>
        </w:trPr>
        <w:tc>
          <w:tcPr>
            <w:tcW w:w="2080" w:type="dxa"/>
            <w:vAlign w:val="bottom"/>
            <w:tcBorders>
              <w:bottom w:val="single" w:sz="8" w:color="auto"/>
            </w:tcBorders>
          </w:tcPr>
          <w:p>
            <w:pPr>
              <w:ind w:left="20"/>
              <w:spacing w:after="0"/>
              <w:rPr>
                <w:sz w:val="20"/>
                <w:szCs w:val="20"/>
                <w:color w:val="auto"/>
              </w:rPr>
            </w:pPr>
            <w:r>
              <w:rPr>
                <w:rFonts w:ascii="Arial" w:cs="Arial" w:eastAsia="Arial" w:hAnsi="Arial"/>
                <w:sz w:val="13"/>
                <w:szCs w:val="13"/>
                <w:b w:val="1"/>
                <w:bCs w:val="1"/>
                <w:color w:val="auto"/>
                <w:w w:val="98"/>
              </w:rPr>
              <w:t>(millions of United States dollars)</w:t>
            </w:r>
          </w:p>
        </w:tc>
        <w:tc>
          <w:tcPr>
            <w:tcW w:w="530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1480" w:type="dxa"/>
            <w:vAlign w:val="bottom"/>
            <w:tcBorders>
              <w:bottom w:val="single" w:sz="8" w:color="auto"/>
            </w:tcBorders>
          </w:tcPr>
          <w:p>
            <w:pPr>
              <w:jc w:val="center"/>
              <w:ind w:right="18"/>
              <w:spacing w:after="0"/>
              <w:rPr>
                <w:sz w:val="20"/>
                <w:szCs w:val="20"/>
                <w:color w:val="auto"/>
              </w:rPr>
            </w:pPr>
            <w:r>
              <w:rPr>
                <w:rFonts w:ascii="Arial" w:cs="Arial" w:eastAsia="Arial" w:hAnsi="Arial"/>
                <w:sz w:val="13"/>
                <w:szCs w:val="13"/>
                <w:b w:val="1"/>
                <w:bCs w:val="1"/>
                <w:color w:val="auto"/>
                <w:w w:val="92"/>
              </w:rPr>
              <w:t>March 31, 2015</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738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Increase in gold revenue</w:t>
            </w: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6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9.0</w:t>
            </w:r>
          </w:p>
        </w:tc>
        <w:tc>
          <w:tcPr>
            <w:tcW w:w="0" w:type="dxa"/>
            <w:vAlign w:val="bottom"/>
          </w:tcPr>
          <w:p>
            <w:pPr>
              <w:spacing w:after="0"/>
              <w:rPr>
                <w:sz w:val="1"/>
                <w:szCs w:val="1"/>
                <w:color w:val="auto"/>
              </w:rPr>
            </w:pPr>
          </w:p>
        </w:tc>
      </w:tr>
      <w:tr>
        <w:trPr>
          <w:trHeight w:val="210"/>
        </w:trPr>
        <w:tc>
          <w:tcPr>
            <w:tcW w:w="7380" w:type="dxa"/>
            <w:vAlign w:val="bottom"/>
            <w:gridSpan w:val="2"/>
          </w:tcPr>
          <w:p>
            <w:pPr>
              <w:ind w:left="20"/>
              <w:spacing w:after="0"/>
              <w:rPr>
                <w:sz w:val="20"/>
                <w:szCs w:val="20"/>
                <w:color w:val="auto"/>
              </w:rPr>
            </w:pPr>
            <w:r>
              <w:rPr>
                <w:rFonts w:ascii="Arial" w:cs="Arial" w:eastAsia="Arial" w:hAnsi="Arial"/>
                <w:sz w:val="17"/>
                <w:szCs w:val="17"/>
                <w:color w:val="auto"/>
              </w:rPr>
              <w:t>Increase in silver revenue</w:t>
            </w:r>
          </w:p>
        </w:tc>
        <w:tc>
          <w:tcPr>
            <w:tcW w:w="120" w:type="dxa"/>
            <w:vAlign w:val="bottom"/>
          </w:tcPr>
          <w:p>
            <w:pPr>
              <w:spacing w:after="0"/>
              <w:rPr>
                <w:sz w:val="18"/>
                <w:szCs w:val="18"/>
                <w:color w:val="auto"/>
              </w:rPr>
            </w:pPr>
          </w:p>
        </w:tc>
        <w:tc>
          <w:tcPr>
            <w:tcW w:w="1620" w:type="dxa"/>
            <w:vAlign w:val="bottom"/>
            <w:gridSpan w:val="2"/>
          </w:tcPr>
          <w:p>
            <w:pPr>
              <w:jc w:val="right"/>
              <w:ind w:right="140"/>
              <w:spacing w:after="0"/>
              <w:rPr>
                <w:sz w:val="20"/>
                <w:szCs w:val="20"/>
                <w:color w:val="auto"/>
              </w:rPr>
            </w:pPr>
            <w:r>
              <w:rPr>
                <w:rFonts w:ascii="Arial" w:cs="Arial" w:eastAsia="Arial" w:hAnsi="Arial"/>
                <w:sz w:val="17"/>
                <w:szCs w:val="17"/>
                <w:color w:val="auto"/>
              </w:rPr>
              <w:t>0.9</w:t>
            </w:r>
          </w:p>
        </w:tc>
        <w:tc>
          <w:tcPr>
            <w:tcW w:w="0" w:type="dxa"/>
            <w:vAlign w:val="bottom"/>
          </w:tcPr>
          <w:p>
            <w:pPr>
              <w:spacing w:after="0"/>
              <w:rPr>
                <w:sz w:val="1"/>
                <w:szCs w:val="1"/>
                <w:color w:val="auto"/>
              </w:rPr>
            </w:pPr>
          </w:p>
        </w:tc>
      </w:tr>
      <w:tr>
        <w:trPr>
          <w:trHeight w:val="210"/>
        </w:trPr>
        <w:tc>
          <w:tcPr>
            <w:tcW w:w="738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Decrease in net copper revenue</w:t>
            </w: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(1.5)</w:t>
            </w:r>
          </w:p>
        </w:tc>
        <w:tc>
          <w:tcPr>
            <w:tcW w:w="0" w:type="dxa"/>
            <w:vAlign w:val="bottom"/>
          </w:tcPr>
          <w:p>
            <w:pPr>
              <w:spacing w:after="0"/>
              <w:rPr>
                <w:sz w:val="1"/>
                <w:szCs w:val="1"/>
                <w:color w:val="auto"/>
              </w:rPr>
            </w:pPr>
          </w:p>
        </w:tc>
      </w:tr>
      <w:tr>
        <w:trPr>
          <w:trHeight w:val="210"/>
        </w:trPr>
        <w:tc>
          <w:tcPr>
            <w:tcW w:w="7380" w:type="dxa"/>
            <w:vAlign w:val="bottom"/>
            <w:gridSpan w:val="2"/>
          </w:tcPr>
          <w:p>
            <w:pPr>
              <w:ind w:left="20"/>
              <w:spacing w:after="0"/>
              <w:rPr>
                <w:sz w:val="20"/>
                <w:szCs w:val="20"/>
                <w:color w:val="auto"/>
              </w:rPr>
            </w:pPr>
            <w:r>
              <w:rPr>
                <w:rFonts w:ascii="Arial" w:cs="Arial" w:eastAsia="Arial" w:hAnsi="Arial"/>
                <w:sz w:val="17"/>
                <w:szCs w:val="17"/>
                <w:color w:val="auto"/>
              </w:rPr>
              <w:t>Decrease in net zinc revenue</w:t>
            </w:r>
          </w:p>
        </w:tc>
        <w:tc>
          <w:tcPr>
            <w:tcW w:w="120" w:type="dxa"/>
            <w:vAlign w:val="bottom"/>
          </w:tcPr>
          <w:p>
            <w:pPr>
              <w:spacing w:after="0"/>
              <w:rPr>
                <w:sz w:val="18"/>
                <w:szCs w:val="18"/>
                <w:color w:val="auto"/>
              </w:rPr>
            </w:pPr>
          </w:p>
        </w:tc>
        <w:tc>
          <w:tcPr>
            <w:tcW w:w="1620" w:type="dxa"/>
            <w:vAlign w:val="bottom"/>
            <w:gridSpan w:val="2"/>
          </w:tcPr>
          <w:p>
            <w:pPr>
              <w:jc w:val="right"/>
              <w:ind w:right="80"/>
              <w:spacing w:after="0"/>
              <w:rPr>
                <w:sz w:val="20"/>
                <w:szCs w:val="20"/>
                <w:color w:val="auto"/>
              </w:rPr>
            </w:pPr>
            <w:r>
              <w:rPr>
                <w:rFonts w:ascii="Arial" w:cs="Arial" w:eastAsia="Arial" w:hAnsi="Arial"/>
                <w:sz w:val="17"/>
                <w:szCs w:val="17"/>
                <w:color w:val="auto"/>
              </w:rPr>
              <w:t>(1.5)</w:t>
            </w:r>
          </w:p>
        </w:tc>
        <w:tc>
          <w:tcPr>
            <w:tcW w:w="0" w:type="dxa"/>
            <w:vAlign w:val="bottom"/>
          </w:tcPr>
          <w:p>
            <w:pPr>
              <w:spacing w:after="0"/>
              <w:rPr>
                <w:sz w:val="1"/>
                <w:szCs w:val="1"/>
                <w:color w:val="auto"/>
              </w:rPr>
            </w:pPr>
          </w:p>
        </w:tc>
      </w:tr>
      <w:tr>
        <w:trPr>
          <w:trHeight w:val="210"/>
        </w:trPr>
        <w:tc>
          <w:tcPr>
            <w:tcW w:w="738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Decrease in production costs due to weaker Canadian dollar, Mexican peso and Euro</w:t>
            </w: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19.7</w:t>
            </w:r>
          </w:p>
        </w:tc>
        <w:tc>
          <w:tcPr>
            <w:tcW w:w="0" w:type="dxa"/>
            <w:vAlign w:val="bottom"/>
          </w:tcPr>
          <w:p>
            <w:pPr>
              <w:spacing w:after="0"/>
              <w:rPr>
                <w:sz w:val="1"/>
                <w:szCs w:val="1"/>
                <w:color w:val="auto"/>
              </w:rPr>
            </w:pPr>
          </w:p>
        </w:tc>
      </w:tr>
      <w:tr>
        <w:trPr>
          <w:trHeight w:val="210"/>
        </w:trPr>
        <w:tc>
          <w:tcPr>
            <w:tcW w:w="7380" w:type="dxa"/>
            <w:vAlign w:val="bottom"/>
            <w:gridSpan w:val="2"/>
          </w:tcPr>
          <w:p>
            <w:pPr>
              <w:ind w:left="20"/>
              <w:spacing w:after="0"/>
              <w:rPr>
                <w:sz w:val="20"/>
                <w:szCs w:val="20"/>
                <w:color w:val="auto"/>
              </w:rPr>
            </w:pPr>
            <w:r>
              <w:rPr>
                <w:rFonts w:ascii="Arial" w:cs="Arial" w:eastAsia="Arial" w:hAnsi="Arial"/>
                <w:sz w:val="17"/>
                <w:szCs w:val="17"/>
                <w:color w:val="auto"/>
              </w:rPr>
              <w:t>Increase in production costs</w:t>
            </w:r>
          </w:p>
        </w:tc>
        <w:tc>
          <w:tcPr>
            <w:tcW w:w="120" w:type="dxa"/>
            <w:vAlign w:val="bottom"/>
          </w:tcPr>
          <w:p>
            <w:pPr>
              <w:spacing w:after="0"/>
              <w:rPr>
                <w:sz w:val="18"/>
                <w:szCs w:val="18"/>
                <w:color w:val="auto"/>
              </w:rPr>
            </w:pPr>
          </w:p>
        </w:tc>
        <w:tc>
          <w:tcPr>
            <w:tcW w:w="1620" w:type="dxa"/>
            <w:vAlign w:val="bottom"/>
            <w:gridSpan w:val="2"/>
          </w:tcPr>
          <w:p>
            <w:pPr>
              <w:jc w:val="right"/>
              <w:ind w:right="80"/>
              <w:spacing w:after="0"/>
              <w:rPr>
                <w:sz w:val="20"/>
                <w:szCs w:val="20"/>
                <w:color w:val="auto"/>
              </w:rPr>
            </w:pPr>
            <w:r>
              <w:rPr>
                <w:rFonts w:ascii="Arial" w:cs="Arial" w:eastAsia="Arial" w:hAnsi="Arial"/>
                <w:sz w:val="17"/>
                <w:szCs w:val="17"/>
                <w:color w:val="auto"/>
              </w:rPr>
              <w:t>(16.4)</w:t>
            </w:r>
          </w:p>
        </w:tc>
        <w:tc>
          <w:tcPr>
            <w:tcW w:w="0" w:type="dxa"/>
            <w:vAlign w:val="bottom"/>
          </w:tcPr>
          <w:p>
            <w:pPr>
              <w:spacing w:after="0"/>
              <w:rPr>
                <w:sz w:val="1"/>
                <w:szCs w:val="1"/>
                <w:color w:val="auto"/>
              </w:rPr>
            </w:pPr>
          </w:p>
        </w:tc>
      </w:tr>
      <w:tr>
        <w:trPr>
          <w:trHeight w:val="210"/>
        </w:trPr>
        <w:tc>
          <w:tcPr>
            <w:tcW w:w="738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Increase in exploration and corporate development expenses</w:t>
            </w: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(11.7)</w:t>
            </w:r>
          </w:p>
        </w:tc>
        <w:tc>
          <w:tcPr>
            <w:tcW w:w="0" w:type="dxa"/>
            <w:vAlign w:val="bottom"/>
          </w:tcPr>
          <w:p>
            <w:pPr>
              <w:spacing w:after="0"/>
              <w:rPr>
                <w:sz w:val="1"/>
                <w:szCs w:val="1"/>
                <w:color w:val="auto"/>
              </w:rPr>
            </w:pPr>
          </w:p>
        </w:tc>
      </w:tr>
      <w:tr>
        <w:trPr>
          <w:trHeight w:val="210"/>
        </w:trPr>
        <w:tc>
          <w:tcPr>
            <w:tcW w:w="7380" w:type="dxa"/>
            <w:vAlign w:val="bottom"/>
            <w:gridSpan w:val="2"/>
          </w:tcPr>
          <w:p>
            <w:pPr>
              <w:ind w:left="20"/>
              <w:spacing w:after="0"/>
              <w:rPr>
                <w:sz w:val="20"/>
                <w:szCs w:val="20"/>
                <w:color w:val="auto"/>
              </w:rPr>
            </w:pPr>
            <w:r>
              <w:rPr>
                <w:rFonts w:ascii="Arial" w:cs="Arial" w:eastAsia="Arial" w:hAnsi="Arial"/>
                <w:sz w:val="17"/>
                <w:szCs w:val="17"/>
                <w:color w:val="auto"/>
              </w:rPr>
              <w:t>Increase in amortization of property, plant and mine development</w:t>
            </w:r>
          </w:p>
        </w:tc>
        <w:tc>
          <w:tcPr>
            <w:tcW w:w="120" w:type="dxa"/>
            <w:vAlign w:val="bottom"/>
          </w:tcPr>
          <w:p>
            <w:pPr>
              <w:spacing w:after="0"/>
              <w:rPr>
                <w:sz w:val="18"/>
                <w:szCs w:val="18"/>
                <w:color w:val="auto"/>
              </w:rPr>
            </w:pPr>
          </w:p>
        </w:tc>
        <w:tc>
          <w:tcPr>
            <w:tcW w:w="1620" w:type="dxa"/>
            <w:vAlign w:val="bottom"/>
            <w:gridSpan w:val="2"/>
          </w:tcPr>
          <w:p>
            <w:pPr>
              <w:jc w:val="right"/>
              <w:ind w:right="80"/>
              <w:spacing w:after="0"/>
              <w:rPr>
                <w:sz w:val="20"/>
                <w:szCs w:val="20"/>
                <w:color w:val="auto"/>
              </w:rPr>
            </w:pPr>
            <w:r>
              <w:rPr>
                <w:rFonts w:ascii="Arial" w:cs="Arial" w:eastAsia="Arial" w:hAnsi="Arial"/>
                <w:sz w:val="17"/>
                <w:szCs w:val="17"/>
                <w:color w:val="auto"/>
              </w:rPr>
              <w:t>(9.7)</w:t>
            </w:r>
          </w:p>
        </w:tc>
        <w:tc>
          <w:tcPr>
            <w:tcW w:w="0" w:type="dxa"/>
            <w:vAlign w:val="bottom"/>
          </w:tcPr>
          <w:p>
            <w:pPr>
              <w:spacing w:after="0"/>
              <w:rPr>
                <w:sz w:val="1"/>
                <w:szCs w:val="1"/>
                <w:color w:val="auto"/>
              </w:rPr>
            </w:pPr>
          </w:p>
        </w:tc>
      </w:tr>
      <w:tr>
        <w:trPr>
          <w:trHeight w:val="210"/>
        </w:trPr>
        <w:tc>
          <w:tcPr>
            <w:tcW w:w="738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Decrease in general and administrative expenses</w:t>
            </w: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0.4</w:t>
            </w:r>
          </w:p>
        </w:tc>
        <w:tc>
          <w:tcPr>
            <w:tcW w:w="0" w:type="dxa"/>
            <w:vAlign w:val="bottom"/>
          </w:tcPr>
          <w:p>
            <w:pPr>
              <w:spacing w:after="0"/>
              <w:rPr>
                <w:sz w:val="1"/>
                <w:szCs w:val="1"/>
                <w:color w:val="auto"/>
              </w:rPr>
            </w:pPr>
          </w:p>
        </w:tc>
      </w:tr>
      <w:tr>
        <w:trPr>
          <w:trHeight w:val="210"/>
        </w:trPr>
        <w:tc>
          <w:tcPr>
            <w:tcW w:w="7380" w:type="dxa"/>
            <w:vAlign w:val="bottom"/>
            <w:gridSpan w:val="2"/>
          </w:tcPr>
          <w:p>
            <w:pPr>
              <w:ind w:left="20"/>
              <w:spacing w:after="0"/>
              <w:rPr>
                <w:sz w:val="20"/>
                <w:szCs w:val="20"/>
                <w:color w:val="auto"/>
              </w:rPr>
            </w:pPr>
            <w:r>
              <w:rPr>
                <w:rFonts w:ascii="Arial" w:cs="Arial" w:eastAsia="Arial" w:hAnsi="Arial"/>
                <w:sz w:val="17"/>
                <w:szCs w:val="17"/>
                <w:color w:val="auto"/>
              </w:rPr>
              <w:t>Change in impairment loss on available-for-sale securities</w:t>
            </w:r>
          </w:p>
        </w:tc>
        <w:tc>
          <w:tcPr>
            <w:tcW w:w="120" w:type="dxa"/>
            <w:vAlign w:val="bottom"/>
          </w:tcPr>
          <w:p>
            <w:pPr>
              <w:spacing w:after="0"/>
              <w:rPr>
                <w:sz w:val="18"/>
                <w:szCs w:val="18"/>
                <w:color w:val="auto"/>
              </w:rPr>
            </w:pPr>
          </w:p>
        </w:tc>
        <w:tc>
          <w:tcPr>
            <w:tcW w:w="1620" w:type="dxa"/>
            <w:vAlign w:val="bottom"/>
            <w:gridSpan w:val="2"/>
          </w:tcPr>
          <w:p>
            <w:pPr>
              <w:jc w:val="right"/>
              <w:ind w:right="140"/>
              <w:spacing w:after="0"/>
              <w:rPr>
                <w:sz w:val="20"/>
                <w:szCs w:val="20"/>
                <w:color w:val="auto"/>
              </w:rPr>
            </w:pPr>
            <w:r>
              <w:rPr>
                <w:rFonts w:ascii="Arial" w:cs="Arial" w:eastAsia="Arial" w:hAnsi="Arial"/>
                <w:sz w:val="17"/>
                <w:szCs w:val="17"/>
                <w:color w:val="auto"/>
              </w:rPr>
              <w:t>0.7</w:t>
            </w:r>
          </w:p>
        </w:tc>
        <w:tc>
          <w:tcPr>
            <w:tcW w:w="0" w:type="dxa"/>
            <w:vAlign w:val="bottom"/>
          </w:tcPr>
          <w:p>
            <w:pPr>
              <w:spacing w:after="0"/>
              <w:rPr>
                <w:sz w:val="1"/>
                <w:szCs w:val="1"/>
                <w:color w:val="auto"/>
              </w:rPr>
            </w:pPr>
          </w:p>
        </w:tc>
      </w:tr>
      <w:tr>
        <w:trPr>
          <w:trHeight w:val="210"/>
        </w:trPr>
        <w:tc>
          <w:tcPr>
            <w:tcW w:w="738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Decrease in finance costs</w:t>
            </w: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1.9</w:t>
            </w:r>
          </w:p>
        </w:tc>
        <w:tc>
          <w:tcPr>
            <w:tcW w:w="0" w:type="dxa"/>
            <w:vAlign w:val="bottom"/>
          </w:tcPr>
          <w:p>
            <w:pPr>
              <w:spacing w:after="0"/>
              <w:rPr>
                <w:sz w:val="1"/>
                <w:szCs w:val="1"/>
                <w:color w:val="auto"/>
              </w:rPr>
            </w:pPr>
          </w:p>
        </w:tc>
      </w:tr>
      <w:tr>
        <w:trPr>
          <w:trHeight w:val="210"/>
        </w:trPr>
        <w:tc>
          <w:tcPr>
            <w:tcW w:w="7380" w:type="dxa"/>
            <w:vAlign w:val="bottom"/>
            <w:gridSpan w:val="2"/>
          </w:tcPr>
          <w:p>
            <w:pPr>
              <w:ind w:left="20"/>
              <w:spacing w:after="0"/>
              <w:rPr>
                <w:sz w:val="20"/>
                <w:szCs w:val="20"/>
                <w:color w:val="auto"/>
              </w:rPr>
            </w:pPr>
            <w:r>
              <w:rPr>
                <w:rFonts w:ascii="Arial" w:cs="Arial" w:eastAsia="Arial" w:hAnsi="Arial"/>
                <w:sz w:val="17"/>
                <w:szCs w:val="17"/>
                <w:color w:val="auto"/>
              </w:rPr>
              <w:t>Change in (gain) loss on derivative financial instruments</w:t>
            </w:r>
          </w:p>
        </w:tc>
        <w:tc>
          <w:tcPr>
            <w:tcW w:w="120" w:type="dxa"/>
            <w:vAlign w:val="bottom"/>
          </w:tcPr>
          <w:p>
            <w:pPr>
              <w:spacing w:after="0"/>
              <w:rPr>
                <w:sz w:val="18"/>
                <w:szCs w:val="18"/>
                <w:color w:val="auto"/>
              </w:rPr>
            </w:pPr>
          </w:p>
        </w:tc>
        <w:tc>
          <w:tcPr>
            <w:tcW w:w="1620" w:type="dxa"/>
            <w:vAlign w:val="bottom"/>
            <w:gridSpan w:val="2"/>
          </w:tcPr>
          <w:p>
            <w:pPr>
              <w:jc w:val="right"/>
              <w:ind w:right="140"/>
              <w:spacing w:after="0"/>
              <w:rPr>
                <w:sz w:val="20"/>
                <w:szCs w:val="20"/>
                <w:color w:val="auto"/>
              </w:rPr>
            </w:pPr>
            <w:r>
              <w:rPr>
                <w:rFonts w:ascii="Arial" w:cs="Arial" w:eastAsia="Arial" w:hAnsi="Arial"/>
                <w:sz w:val="17"/>
                <w:szCs w:val="17"/>
                <w:color w:val="auto"/>
              </w:rPr>
              <w:t>18.2</w:t>
            </w:r>
          </w:p>
        </w:tc>
        <w:tc>
          <w:tcPr>
            <w:tcW w:w="0" w:type="dxa"/>
            <w:vAlign w:val="bottom"/>
          </w:tcPr>
          <w:p>
            <w:pPr>
              <w:spacing w:after="0"/>
              <w:rPr>
                <w:sz w:val="1"/>
                <w:szCs w:val="1"/>
                <w:color w:val="auto"/>
              </w:rPr>
            </w:pPr>
          </w:p>
        </w:tc>
      </w:tr>
      <w:tr>
        <w:trPr>
          <w:trHeight w:val="210"/>
        </w:trPr>
        <w:tc>
          <w:tcPr>
            <w:tcW w:w="738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Decrease in gain on sale of available-for-sale securities</w:t>
            </w: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(20.9)</w:t>
            </w:r>
          </w:p>
        </w:tc>
        <w:tc>
          <w:tcPr>
            <w:tcW w:w="0" w:type="dxa"/>
            <w:vAlign w:val="bottom"/>
          </w:tcPr>
          <w:p>
            <w:pPr>
              <w:spacing w:after="0"/>
              <w:rPr>
                <w:sz w:val="1"/>
                <w:szCs w:val="1"/>
                <w:color w:val="auto"/>
              </w:rPr>
            </w:pPr>
          </w:p>
        </w:tc>
      </w:tr>
      <w:tr>
        <w:trPr>
          <w:trHeight w:val="210"/>
        </w:trPr>
        <w:tc>
          <w:tcPr>
            <w:tcW w:w="7380" w:type="dxa"/>
            <w:vAlign w:val="bottom"/>
            <w:gridSpan w:val="2"/>
          </w:tcPr>
          <w:p>
            <w:pPr>
              <w:ind w:left="20"/>
              <w:spacing w:after="0"/>
              <w:rPr>
                <w:sz w:val="20"/>
                <w:szCs w:val="20"/>
                <w:color w:val="auto"/>
              </w:rPr>
            </w:pPr>
            <w:r>
              <w:rPr>
                <w:rFonts w:ascii="Arial" w:cs="Arial" w:eastAsia="Arial" w:hAnsi="Arial"/>
                <w:sz w:val="17"/>
                <w:szCs w:val="17"/>
                <w:color w:val="auto"/>
              </w:rPr>
              <w:t>Increase in environmental remediation costs</w:t>
            </w:r>
          </w:p>
        </w:tc>
        <w:tc>
          <w:tcPr>
            <w:tcW w:w="120" w:type="dxa"/>
            <w:vAlign w:val="bottom"/>
          </w:tcPr>
          <w:p>
            <w:pPr>
              <w:spacing w:after="0"/>
              <w:rPr>
                <w:sz w:val="18"/>
                <w:szCs w:val="18"/>
                <w:color w:val="auto"/>
              </w:rPr>
            </w:pPr>
          </w:p>
        </w:tc>
        <w:tc>
          <w:tcPr>
            <w:tcW w:w="1620" w:type="dxa"/>
            <w:vAlign w:val="bottom"/>
            <w:gridSpan w:val="2"/>
          </w:tcPr>
          <w:p>
            <w:pPr>
              <w:jc w:val="right"/>
              <w:ind w:right="80"/>
              <w:spacing w:after="0"/>
              <w:rPr>
                <w:sz w:val="20"/>
                <w:szCs w:val="20"/>
                <w:color w:val="auto"/>
              </w:rPr>
            </w:pPr>
            <w:r>
              <w:rPr>
                <w:rFonts w:ascii="Arial" w:cs="Arial" w:eastAsia="Arial" w:hAnsi="Arial"/>
                <w:sz w:val="17"/>
                <w:szCs w:val="17"/>
                <w:color w:val="auto"/>
              </w:rPr>
              <w:t>(4.7)</w:t>
            </w:r>
          </w:p>
        </w:tc>
        <w:tc>
          <w:tcPr>
            <w:tcW w:w="0" w:type="dxa"/>
            <w:vAlign w:val="bottom"/>
          </w:tcPr>
          <w:p>
            <w:pPr>
              <w:spacing w:after="0"/>
              <w:rPr>
                <w:sz w:val="1"/>
                <w:szCs w:val="1"/>
                <w:color w:val="auto"/>
              </w:rPr>
            </w:pPr>
          </w:p>
        </w:tc>
      </w:tr>
      <w:tr>
        <w:trPr>
          <w:trHeight w:val="210"/>
        </w:trPr>
        <w:tc>
          <w:tcPr>
            <w:tcW w:w="738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Change in non cash foreign currency translation</w:t>
            </w: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(18.5)</w:t>
            </w:r>
          </w:p>
        </w:tc>
        <w:tc>
          <w:tcPr>
            <w:tcW w:w="0" w:type="dxa"/>
            <w:vAlign w:val="bottom"/>
          </w:tcPr>
          <w:p>
            <w:pPr>
              <w:spacing w:after="0"/>
              <w:rPr>
                <w:sz w:val="1"/>
                <w:szCs w:val="1"/>
                <w:color w:val="auto"/>
              </w:rPr>
            </w:pPr>
          </w:p>
        </w:tc>
      </w:tr>
      <w:tr>
        <w:trPr>
          <w:trHeight w:val="210"/>
        </w:trPr>
        <w:tc>
          <w:tcPr>
            <w:tcW w:w="7380" w:type="dxa"/>
            <w:vAlign w:val="bottom"/>
            <w:gridSpan w:val="2"/>
          </w:tcPr>
          <w:p>
            <w:pPr>
              <w:ind w:left="20"/>
              <w:spacing w:after="0"/>
              <w:rPr>
                <w:sz w:val="20"/>
                <w:szCs w:val="20"/>
                <w:color w:val="auto"/>
              </w:rPr>
            </w:pPr>
            <w:r>
              <w:rPr>
                <w:rFonts w:ascii="Arial" w:cs="Arial" w:eastAsia="Arial" w:hAnsi="Arial"/>
                <w:sz w:val="17"/>
                <w:szCs w:val="17"/>
                <w:color w:val="auto"/>
              </w:rPr>
              <w:t>Decrease in income and mining taxes</w:t>
            </w:r>
          </w:p>
        </w:tc>
        <w:tc>
          <w:tcPr>
            <w:tcW w:w="120" w:type="dxa"/>
            <w:vAlign w:val="bottom"/>
          </w:tcPr>
          <w:p>
            <w:pPr>
              <w:spacing w:after="0"/>
              <w:rPr>
                <w:sz w:val="18"/>
                <w:szCs w:val="18"/>
                <w:color w:val="auto"/>
              </w:rPr>
            </w:pPr>
          </w:p>
        </w:tc>
        <w:tc>
          <w:tcPr>
            <w:tcW w:w="1620" w:type="dxa"/>
            <w:vAlign w:val="bottom"/>
            <w:gridSpan w:val="2"/>
          </w:tcPr>
          <w:p>
            <w:pPr>
              <w:jc w:val="right"/>
              <w:ind w:right="140"/>
              <w:spacing w:after="0"/>
              <w:rPr>
                <w:sz w:val="20"/>
                <w:szCs w:val="20"/>
                <w:color w:val="auto"/>
              </w:rPr>
            </w:pPr>
            <w:r>
              <w:rPr>
                <w:rFonts w:ascii="Arial" w:cs="Arial" w:eastAsia="Arial" w:hAnsi="Arial"/>
                <w:sz w:val="17"/>
                <w:szCs w:val="17"/>
                <w:color w:val="auto"/>
              </w:rPr>
              <w:t>28.6</w:t>
            </w:r>
          </w:p>
        </w:tc>
        <w:tc>
          <w:tcPr>
            <w:tcW w:w="0" w:type="dxa"/>
            <w:vAlign w:val="bottom"/>
          </w:tcPr>
          <w:p>
            <w:pPr>
              <w:spacing w:after="0"/>
              <w:rPr>
                <w:sz w:val="1"/>
                <w:szCs w:val="1"/>
                <w:color w:val="auto"/>
              </w:rPr>
            </w:pPr>
          </w:p>
        </w:tc>
      </w:tr>
      <w:tr>
        <w:trPr>
          <w:trHeight w:val="210"/>
        </w:trPr>
        <w:tc>
          <w:tcPr>
            <w:tcW w:w="738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Other</w:t>
            </w: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4.5</w:t>
            </w:r>
          </w:p>
        </w:tc>
        <w:tc>
          <w:tcPr>
            <w:tcW w:w="0" w:type="dxa"/>
            <w:vAlign w:val="bottom"/>
          </w:tcPr>
          <w:p>
            <w:pPr>
              <w:spacing w:after="0"/>
              <w:rPr>
                <w:sz w:val="1"/>
                <w:szCs w:val="1"/>
                <w:color w:val="auto"/>
              </w:rPr>
            </w:pPr>
          </w:p>
        </w:tc>
      </w:tr>
      <w:tr>
        <w:trPr>
          <w:trHeight w:val="26"/>
        </w:trPr>
        <w:tc>
          <w:tcPr>
            <w:tcW w:w="7380" w:type="dxa"/>
            <w:vAlign w:val="bottom"/>
            <w:gridSpan w:val="2"/>
            <w:vMerge w:val="restart"/>
          </w:tcPr>
          <w:p>
            <w:pPr>
              <w:ind w:left="20"/>
              <w:spacing w:after="0"/>
              <w:rPr>
                <w:sz w:val="20"/>
                <w:szCs w:val="20"/>
                <w:color w:val="auto"/>
              </w:rPr>
            </w:pPr>
            <w:r>
              <w:rPr>
                <w:rFonts w:ascii="Arial" w:cs="Arial" w:eastAsia="Arial" w:hAnsi="Arial"/>
                <w:sz w:val="17"/>
                <w:szCs w:val="17"/>
                <w:b w:val="1"/>
                <w:bCs w:val="1"/>
                <w:color w:val="auto"/>
              </w:rPr>
              <w:t>Total net income variance</w:t>
            </w:r>
          </w:p>
        </w:tc>
        <w:tc>
          <w:tcPr>
            <w:tcW w:w="12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7380" w:type="dxa"/>
            <w:vAlign w:val="bottom"/>
            <w:gridSpan w:val="2"/>
            <w:vMerge w:val="continue"/>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620" w:type="dxa"/>
            <w:vAlign w:val="bottom"/>
            <w:gridSpan w:val="2"/>
          </w:tcPr>
          <w:p>
            <w:pPr>
              <w:jc w:val="right"/>
              <w:ind w:right="80"/>
              <w:spacing w:after="0"/>
              <w:rPr>
                <w:sz w:val="20"/>
                <w:szCs w:val="20"/>
                <w:color w:val="auto"/>
              </w:rPr>
            </w:pPr>
            <w:r>
              <w:rPr>
                <w:rFonts w:ascii="Arial" w:cs="Arial" w:eastAsia="Arial" w:hAnsi="Arial"/>
                <w:sz w:val="17"/>
                <w:szCs w:val="17"/>
                <w:color w:val="auto"/>
              </w:rPr>
              <w:t>(1.0)</w:t>
            </w:r>
          </w:p>
        </w:tc>
        <w:tc>
          <w:tcPr>
            <w:tcW w:w="0" w:type="dxa"/>
            <w:vAlign w:val="bottom"/>
          </w:tcPr>
          <w:p>
            <w:pPr>
              <w:spacing w:after="0"/>
              <w:rPr>
                <w:sz w:val="1"/>
                <w:szCs w:val="1"/>
                <w:color w:val="auto"/>
              </w:rPr>
            </w:pPr>
          </w:p>
        </w:tc>
      </w:tr>
      <w:tr>
        <w:trPr>
          <w:trHeight w:val="20"/>
        </w:trPr>
        <w:tc>
          <w:tcPr>
            <w:tcW w:w="2080" w:type="dxa"/>
            <w:vAlign w:val="bottom"/>
          </w:tcPr>
          <w:p>
            <w:pPr>
              <w:spacing w:after="0" w:line="20" w:lineRule="exact"/>
              <w:rPr>
                <w:sz w:val="1"/>
                <w:szCs w:val="1"/>
                <w:color w:val="auto"/>
              </w:rPr>
            </w:pPr>
          </w:p>
        </w:tc>
        <w:tc>
          <w:tcPr>
            <w:tcW w:w="53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080" w:type="dxa"/>
            <w:vAlign w:val="bottom"/>
          </w:tcPr>
          <w:p>
            <w:pPr>
              <w:spacing w:after="0" w:line="20" w:lineRule="exact"/>
              <w:rPr>
                <w:sz w:val="1"/>
                <w:szCs w:val="1"/>
                <w:color w:val="auto"/>
              </w:rPr>
            </w:pPr>
          </w:p>
        </w:tc>
        <w:tc>
          <w:tcPr>
            <w:tcW w:w="53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Three Months Ended March 31, 2016 vs. Three Months Ended March 31, 2015</w:t>
      </w:r>
    </w:p>
    <w:p>
      <w:pPr>
        <w:spacing w:after="0" w:line="224" w:lineRule="exact"/>
        <w:rPr>
          <w:sz w:val="20"/>
          <w:szCs w:val="20"/>
          <w:color w:val="auto"/>
        </w:rPr>
      </w:pPr>
    </w:p>
    <w:p>
      <w:pPr>
        <w:jc w:val="both"/>
        <w:ind w:firstLine="366"/>
        <w:spacing w:after="0" w:line="283" w:lineRule="auto"/>
        <w:rPr>
          <w:sz w:val="20"/>
          <w:szCs w:val="20"/>
          <w:color w:val="auto"/>
        </w:rPr>
      </w:pPr>
      <w:r>
        <w:rPr>
          <w:rFonts w:ascii="Arial" w:cs="Arial" w:eastAsia="Arial" w:hAnsi="Arial"/>
          <w:sz w:val="16"/>
          <w:szCs w:val="16"/>
          <w:color w:val="auto"/>
        </w:rPr>
        <w:t>Revenues from mining operations increased to $490.5 million in the first quarter of 2016 compared with $483.6 million in the first quarter of 2015 primarily due to a 1.8% increase in gold production between periods. Between the first quarter of 2015 and the first quarter of 2016, increases in tonnes of ore milled and higher gold grades at the LaRonde and Canadian Malartic mines resulted in an increase in gold production, partially offset by lower gold grade and production at the Meadowbank mine. Partially offsetting the impact of increased gold production on revenues from mining operations was a 0.8% decrease in the average realized price of gold, an 11.3% decrease in the average realized price of silver and a 34.4% decrease in zinc production between periods.</w:t>
      </w:r>
    </w:p>
    <w:p>
      <w:pPr>
        <w:spacing w:after="0" w:line="174" w:lineRule="exact"/>
        <w:rPr>
          <w:sz w:val="20"/>
          <w:szCs w:val="20"/>
          <w:color w:val="auto"/>
        </w:rPr>
      </w:pPr>
    </w:p>
    <w:p>
      <w:pPr>
        <w:jc w:val="both"/>
        <w:ind w:firstLine="377"/>
        <w:spacing w:after="0" w:line="265" w:lineRule="auto"/>
        <w:rPr>
          <w:sz w:val="20"/>
          <w:szCs w:val="20"/>
          <w:color w:val="auto"/>
        </w:rPr>
      </w:pPr>
      <w:r>
        <w:rPr>
          <w:rFonts w:ascii="Arial" w:cs="Arial" w:eastAsia="Arial" w:hAnsi="Arial"/>
          <w:sz w:val="17"/>
          <w:szCs w:val="17"/>
          <w:color w:val="auto"/>
        </w:rPr>
        <w:t>Production costs were $244.0 million in the first quarter of 2016, a 1.3% decrease compared with $247.3 million in the first quarter of 2015 primarily due to the impact of a weaker Canadian dollar, Mexican peso and Euro relative to the US dollar. Partially offsetting the total decrease in production costs between the first quarter of 2015 and the first quarter of 2016 was a $4.0 million increase in production costs at the Kittila mine due to a 25.2% increase in tonnes of ore milled between periods.</w:t>
      </w:r>
    </w:p>
    <w:p>
      <w:pPr>
        <w:spacing w:after="0" w:line="185" w:lineRule="exact"/>
        <w:rPr>
          <w:sz w:val="20"/>
          <w:szCs w:val="20"/>
          <w:color w:val="auto"/>
        </w:rPr>
      </w:pPr>
    </w:p>
    <w:p>
      <w:pPr>
        <w:jc w:val="both"/>
        <w:ind w:firstLine="355"/>
        <w:spacing w:after="0" w:line="306" w:lineRule="auto"/>
        <w:rPr>
          <w:sz w:val="20"/>
          <w:szCs w:val="20"/>
          <w:color w:val="auto"/>
        </w:rPr>
      </w:pPr>
      <w:r>
        <w:rPr>
          <w:rFonts w:ascii="Arial" w:cs="Arial" w:eastAsia="Arial" w:hAnsi="Arial"/>
          <w:sz w:val="15"/>
          <w:szCs w:val="15"/>
          <w:color w:val="auto"/>
        </w:rPr>
        <w:t>Weighted average total cash costs per ounce of gold produced decreased to $573 on a by-product basis and $631 on a co-product basis in the first quarter of 2016 compared with $588 on a by-product basis and $651 on a co-product basis in the first quarter of 2015 primarily due to the impact on costs of a weaker Canadian dollar, Mexican peso and Euro relative to the US dollar. For a reconciliation of total cash costs per ounce of gold produced on both a by-product basis (deducting by-product metal revenues from production costs) and co-product basis (before by-product metal revenues) to production costs as presented in the condensed interim consolidated statements of income and comprehensive income in accordance with IFRS, see Non-GAAP Financial Performance Measures in this MD&amp;A.</w:t>
      </w:r>
    </w:p>
    <w:p>
      <w:pPr>
        <w:spacing w:after="0" w:line="15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8" w:name="page9"/>
    <w:bookmarkEnd w:id="8"/>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Months Ended March 31, 2016</w:t>
      </w:r>
    </w:p>
    <w:p>
      <w:pPr>
        <w:spacing w:after="0" w:line="218" w:lineRule="exact"/>
        <w:rPr>
          <w:sz w:val="20"/>
          <w:szCs w:val="20"/>
          <w:color w:val="auto"/>
        </w:rPr>
      </w:pPr>
    </w:p>
    <w:p>
      <w:pPr>
        <w:jc w:val="both"/>
        <w:ind w:firstLine="390"/>
        <w:spacing w:after="0" w:line="270" w:lineRule="auto"/>
        <w:rPr>
          <w:sz w:val="20"/>
          <w:szCs w:val="20"/>
          <w:color w:val="auto"/>
        </w:rPr>
      </w:pPr>
      <w:r>
        <w:rPr>
          <w:rFonts w:ascii="Arial" w:cs="Arial" w:eastAsia="Arial" w:hAnsi="Arial"/>
          <w:sz w:val="17"/>
          <w:szCs w:val="17"/>
          <w:color w:val="auto"/>
        </w:rPr>
        <w:t>Exploration and corporate development expenses increased to $28.4 million in the first quarter of 2016 compared with $16.7 million in the first quarter of 2015 primarily due to exploration at the Amaruq project in Nunavut and the El Barqueno project in Mexico, and increased corporate development and project evaluation expenses between periods.</w:t>
      </w:r>
    </w:p>
    <w:p>
      <w:pPr>
        <w:spacing w:after="0" w:line="179" w:lineRule="exact"/>
        <w:rPr>
          <w:sz w:val="20"/>
          <w:szCs w:val="20"/>
          <w:color w:val="auto"/>
        </w:rPr>
      </w:pPr>
    </w:p>
    <w:p>
      <w:pPr>
        <w:jc w:val="both"/>
        <w:ind w:firstLine="366"/>
        <w:spacing w:after="0" w:line="270" w:lineRule="auto"/>
        <w:rPr>
          <w:sz w:val="20"/>
          <w:szCs w:val="20"/>
          <w:color w:val="auto"/>
        </w:rPr>
      </w:pPr>
      <w:r>
        <w:rPr>
          <w:rFonts w:ascii="Arial" w:cs="Arial" w:eastAsia="Arial" w:hAnsi="Arial"/>
          <w:sz w:val="17"/>
          <w:szCs w:val="17"/>
          <w:color w:val="auto"/>
        </w:rPr>
        <w:t>Amortization of property, plant and mine development increased by $9.7 million to $145.6 million between the first quarter of 2015 and the first quarter of 2016 primarily due to an increase in depreciable mining properties at the Canadian Malartic mine between periods based on final estimates of fair value as at the June 16, 2014 acquisition date.</w:t>
      </w:r>
    </w:p>
    <w:p>
      <w:pPr>
        <w:spacing w:after="0" w:line="179" w:lineRule="exact"/>
        <w:rPr>
          <w:sz w:val="20"/>
          <w:szCs w:val="20"/>
          <w:color w:val="auto"/>
        </w:rPr>
      </w:pPr>
    </w:p>
    <w:p>
      <w:pPr>
        <w:jc w:val="both"/>
        <w:ind w:firstLine="459"/>
        <w:spacing w:after="0" w:line="282" w:lineRule="auto"/>
        <w:rPr>
          <w:sz w:val="20"/>
          <w:szCs w:val="20"/>
          <w:color w:val="auto"/>
        </w:rPr>
      </w:pPr>
      <w:r>
        <w:rPr>
          <w:rFonts w:ascii="Arial" w:cs="Arial" w:eastAsia="Arial" w:hAnsi="Arial"/>
          <w:sz w:val="17"/>
          <w:szCs w:val="17"/>
          <w:color w:val="auto"/>
        </w:rPr>
        <w:t>General and administrative expense decreased to $24.8 million during the first quarter of 2016 compared with $25.2 million during the first quarter of 2015 primarily due to decreased employee compensation expenses.</w:t>
      </w:r>
    </w:p>
    <w:p>
      <w:pPr>
        <w:spacing w:after="0" w:line="170" w:lineRule="exact"/>
        <w:rPr>
          <w:sz w:val="20"/>
          <w:szCs w:val="20"/>
          <w:color w:val="auto"/>
        </w:rPr>
      </w:pPr>
    </w:p>
    <w:p>
      <w:pPr>
        <w:jc w:val="both"/>
        <w:ind w:firstLine="535"/>
        <w:spacing w:after="0" w:line="294" w:lineRule="auto"/>
        <w:rPr>
          <w:sz w:val="20"/>
          <w:szCs w:val="20"/>
          <w:color w:val="auto"/>
        </w:rPr>
      </w:pPr>
      <w:r>
        <w:rPr>
          <w:rFonts w:ascii="Arial" w:cs="Arial" w:eastAsia="Arial" w:hAnsi="Arial"/>
          <w:sz w:val="16"/>
          <w:szCs w:val="16"/>
          <w:color w:val="auto"/>
        </w:rPr>
        <w:t>An impairment loss on certain available-for-sale securities of $0.7 million was recorded as at March 31, 2015 compared with nil as at March 31, 2016. Impairment loss evaluations of available-for-sale securities are based on whether a decline in fair value is considered to be significant or prolonged. A gain of $0.1 million was recorded on the sale of available-for-sale securities in the first quarter of 2016 compared with $21.0 million in the first quarter of 2015.</w:t>
      </w:r>
    </w:p>
    <w:p>
      <w:pPr>
        <w:spacing w:after="0" w:line="163" w:lineRule="exact"/>
        <w:rPr>
          <w:sz w:val="20"/>
          <w:szCs w:val="20"/>
          <w:color w:val="auto"/>
        </w:rPr>
      </w:pPr>
    </w:p>
    <w:p>
      <w:pPr>
        <w:jc w:val="both"/>
        <w:ind w:firstLine="449"/>
        <w:spacing w:after="0" w:line="270" w:lineRule="auto"/>
        <w:rPr>
          <w:sz w:val="20"/>
          <w:szCs w:val="20"/>
          <w:color w:val="auto"/>
        </w:rPr>
      </w:pPr>
      <w:r>
        <w:rPr>
          <w:rFonts w:ascii="Arial" w:cs="Arial" w:eastAsia="Arial" w:hAnsi="Arial"/>
          <w:sz w:val="17"/>
          <w:szCs w:val="17"/>
          <w:color w:val="auto"/>
        </w:rPr>
        <w:t>During the first quarter of 2016, there was a non-cash foreign currency translation loss of $6.8 million attributable to a strengthening of the Canadian dollar, Mexican peso and Euro versus the US dollar at March 31, 2016 relative to December 31, 2015. A non-cash foreign currency translation gain of $11.7 million was recorded during the comparative first quarter of 2015.</w:t>
      </w:r>
    </w:p>
    <w:p>
      <w:pPr>
        <w:spacing w:after="0" w:line="179" w:lineRule="exact"/>
        <w:rPr>
          <w:sz w:val="20"/>
          <w:szCs w:val="20"/>
          <w:color w:val="auto"/>
        </w:rPr>
      </w:pPr>
    </w:p>
    <w:p>
      <w:pPr>
        <w:jc w:val="both"/>
        <w:ind w:firstLine="535"/>
        <w:spacing w:after="0" w:line="265" w:lineRule="auto"/>
        <w:rPr>
          <w:sz w:val="20"/>
          <w:szCs w:val="20"/>
          <w:color w:val="auto"/>
        </w:rPr>
      </w:pPr>
      <w:r>
        <w:rPr>
          <w:rFonts w:ascii="Arial" w:cs="Arial" w:eastAsia="Arial" w:hAnsi="Arial"/>
          <w:sz w:val="17"/>
          <w:szCs w:val="17"/>
          <w:color w:val="auto"/>
        </w:rPr>
        <w:t>In the first quarter of 2016, the Company recorded an income and mining taxes recovery of $0.6 million on income before income and mining taxes of $27.2 million. In the first quarter of 2015, the Company recorded income and mining taxes expense of $28.0 million on income before income and mining taxes of $56.7 million. The decrease in the income and mining taxes expense between the first quarter of 2015 and the first quarter of 2016 is primarily due to foreign exchange rate movements, offset partially by an increase in non-deductible permanent differences.</w:t>
      </w:r>
    </w:p>
    <w:p>
      <w:pPr>
        <w:spacing w:after="0" w:line="185" w:lineRule="exact"/>
        <w:rPr>
          <w:sz w:val="20"/>
          <w:szCs w:val="20"/>
          <w:color w:val="auto"/>
        </w:rPr>
      </w:pPr>
    </w:p>
    <w:p>
      <w:pPr>
        <w:jc w:val="both"/>
        <w:ind w:firstLine="369"/>
        <w:spacing w:after="0" w:line="265" w:lineRule="auto"/>
        <w:rPr>
          <w:sz w:val="20"/>
          <w:szCs w:val="20"/>
          <w:color w:val="auto"/>
        </w:rPr>
      </w:pPr>
      <w:r>
        <w:rPr>
          <w:rFonts w:ascii="Arial" w:cs="Arial" w:eastAsia="Arial" w:hAnsi="Arial"/>
          <w:sz w:val="17"/>
          <w:szCs w:val="17"/>
          <w:color w:val="auto"/>
        </w:rPr>
        <w:t>There are a number of factors that can significantly impact the Company's effective tax rate including varying rates in different jurisdictions, the non-recognition of certain tax assets, mining allowances, foreign currency exchange rate movements, changes in tax laws, the impact of specific transactions and assessments and the relative distribution of income in the Company's operating jurisdictions. As a result of these factors, the Company's effective tax rate is expected to continue to fluctuate significantly in future periods.</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LaRonde mine</w:t>
      </w:r>
    </w:p>
    <w:p>
      <w:pPr>
        <w:spacing w:after="0" w:line="224" w:lineRule="exact"/>
        <w:rPr>
          <w:sz w:val="20"/>
          <w:szCs w:val="20"/>
          <w:color w:val="auto"/>
        </w:rPr>
      </w:pPr>
    </w:p>
    <w:p>
      <w:pPr>
        <w:jc w:val="both"/>
        <w:ind w:firstLine="352"/>
        <w:spacing w:after="0" w:line="270" w:lineRule="auto"/>
        <w:rPr>
          <w:sz w:val="20"/>
          <w:szCs w:val="20"/>
          <w:color w:val="auto"/>
        </w:rPr>
      </w:pPr>
      <w:r>
        <w:rPr>
          <w:rFonts w:ascii="Arial" w:cs="Arial" w:eastAsia="Arial" w:hAnsi="Arial"/>
          <w:sz w:val="17"/>
          <w:szCs w:val="17"/>
          <w:color w:val="auto"/>
        </w:rPr>
        <w:t>At the LaRonde mine, gold production increased by 27.9% to 75,337 ounces in the first quarter of 2016 compared with 58,893 ounces in the first quarter of 2015 primarily due to higher gold grade, increased mill recoveries, and an increase in tonnes of ore milled. Production costs at the LaRonde mine were $45.9 million in the first quarter of 2016, consistent with production costs of $45.9 million in the first quarter of 2015.</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Lapa mine</w:t>
      </w:r>
    </w:p>
    <w:p>
      <w:pPr>
        <w:spacing w:after="0" w:line="224" w:lineRule="exact"/>
        <w:rPr>
          <w:sz w:val="20"/>
          <w:szCs w:val="20"/>
          <w:color w:val="auto"/>
        </w:rPr>
      </w:pPr>
    </w:p>
    <w:p>
      <w:pPr>
        <w:jc w:val="both"/>
        <w:ind w:firstLine="412"/>
        <w:spacing w:after="0" w:line="265" w:lineRule="auto"/>
        <w:rPr>
          <w:sz w:val="20"/>
          <w:szCs w:val="20"/>
          <w:color w:val="auto"/>
        </w:rPr>
      </w:pPr>
      <w:r>
        <w:rPr>
          <w:rFonts w:ascii="Arial" w:cs="Arial" w:eastAsia="Arial" w:hAnsi="Arial"/>
          <w:sz w:val="17"/>
          <w:szCs w:val="17"/>
          <w:color w:val="auto"/>
        </w:rPr>
        <w:t>At the Lapa mine, gold production decreased by 16.2% to 21,709 ounces in the first quarter of 2016 compared with 25,920 ounces in the first quarter of 2015 primarily due to decreased mill recoveries and lower gold grade. Production costs at the Lapa mine were $12.8 million in the first quarter of 2016, a decrease of 8.6% compared with production costs of $14.0 million in the first quarter of 2015 driven primarily by a weakening of the Canadian dollar relative to the US dollar, partially offset by increased mill throughput.</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Months Ended March 31, 2016</w:t>
      </w: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Goldex mine</w:t>
      </w:r>
    </w:p>
    <w:p>
      <w:pPr>
        <w:spacing w:after="0" w:line="224" w:lineRule="exact"/>
        <w:rPr>
          <w:sz w:val="20"/>
          <w:szCs w:val="20"/>
          <w:color w:val="auto"/>
        </w:rPr>
      </w:pPr>
    </w:p>
    <w:p>
      <w:pPr>
        <w:jc w:val="both"/>
        <w:ind w:firstLine="361"/>
        <w:spacing w:after="0" w:line="265" w:lineRule="auto"/>
        <w:rPr>
          <w:sz w:val="20"/>
          <w:szCs w:val="20"/>
          <w:color w:val="auto"/>
        </w:rPr>
      </w:pPr>
      <w:r>
        <w:rPr>
          <w:rFonts w:ascii="Arial" w:cs="Arial" w:eastAsia="Arial" w:hAnsi="Arial"/>
          <w:sz w:val="17"/>
          <w:szCs w:val="17"/>
          <w:color w:val="auto"/>
        </w:rPr>
        <w:t>At the Goldex mine's M and E Zones, gold production increased by 10.6% to 32,340 ounces in the first quarter of 2016 compared with 29,250 ounces in the first quarter of 2015 primarily due to an increase in tonnes of ore milled. Production costs at the Goldex mine's M and E Zones were $15.7 million in the first quarter of 2016, an increase of 5.8% compared with production costs of $14.9 million in the first quarter of 2015 driven primarily by increased mill throughput due to productivity improvements, partially offset by a weakening of the Canadian dollar relative to the US dollar.</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Meadowbank mine</w:t>
      </w:r>
    </w:p>
    <w:p>
      <w:pPr>
        <w:spacing w:after="0" w:line="224" w:lineRule="exact"/>
        <w:rPr>
          <w:sz w:val="20"/>
          <w:szCs w:val="20"/>
          <w:color w:val="auto"/>
        </w:rPr>
      </w:pPr>
    </w:p>
    <w:p>
      <w:pPr>
        <w:jc w:val="both"/>
        <w:ind w:firstLine="369"/>
        <w:spacing w:after="0" w:line="265" w:lineRule="auto"/>
        <w:rPr>
          <w:sz w:val="20"/>
          <w:szCs w:val="20"/>
          <w:color w:val="auto"/>
        </w:rPr>
      </w:pPr>
      <w:r>
        <w:rPr>
          <w:rFonts w:ascii="Arial" w:cs="Arial" w:eastAsia="Arial" w:hAnsi="Arial"/>
          <w:sz w:val="17"/>
          <w:szCs w:val="17"/>
          <w:color w:val="auto"/>
        </w:rPr>
        <w:t>At the Meadowbank mine, gold production decreased by 18.3% to 72,311 ounces in the first quarter of 2016 compared with 88,523 ounces in the first quarter of 2015 primarily due to lower gold grade. Production costs at the Meadowbank mine were $52.2 million in the first quarter of 2016, a decrease of 8.6% compared with production costs of $57.1 million in the first quarter of 2015 driven primarily by a weakening of the Canadian dollar relative to the US dollar and decreased mill throughput between periods.</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Canadian Malartic mine</w:t>
      </w:r>
    </w:p>
    <w:p>
      <w:pPr>
        <w:spacing w:after="0" w:line="224" w:lineRule="exact"/>
        <w:rPr>
          <w:sz w:val="20"/>
          <w:szCs w:val="20"/>
          <w:color w:val="auto"/>
        </w:rPr>
      </w:pPr>
    </w:p>
    <w:p>
      <w:pPr>
        <w:jc w:val="both"/>
        <w:ind w:firstLine="349"/>
        <w:spacing w:after="0" w:line="265" w:lineRule="auto"/>
        <w:rPr>
          <w:sz w:val="20"/>
          <w:szCs w:val="20"/>
          <w:color w:val="auto"/>
        </w:rPr>
      </w:pPr>
      <w:r>
        <w:rPr>
          <w:rFonts w:ascii="Arial" w:cs="Arial" w:eastAsia="Arial" w:hAnsi="Arial"/>
          <w:sz w:val="17"/>
          <w:szCs w:val="17"/>
          <w:color w:val="auto"/>
        </w:rPr>
        <w:t>Agnico Eagle and Yamana jointly acquired 100.0% of Osisko on June 16, 2014 by way of a statutory plan of arrangement (the "Arrangement"). As a result of the Arrangement, Agnico Eagle and Yamana each indirectly own 50.0% of CMC and the Partnership, which now holds the Canadian Malartic mine in northwestern Quebec. Agnico Eagle and Yamana will also jointly explore, through their indirect ownership of Canadian Malartic Corporation (the successor to Osisko), the Kirkland Lake assets, the Hammond Reef project and the Pandora and Wood-Pandora properties.</w:t>
      </w:r>
    </w:p>
    <w:p>
      <w:pPr>
        <w:spacing w:after="0" w:line="185" w:lineRule="exact"/>
        <w:rPr>
          <w:sz w:val="20"/>
          <w:szCs w:val="20"/>
          <w:color w:val="auto"/>
        </w:rPr>
      </w:pPr>
    </w:p>
    <w:p>
      <w:pPr>
        <w:jc w:val="both"/>
        <w:ind w:firstLine="363"/>
        <w:spacing w:after="0" w:line="265" w:lineRule="auto"/>
        <w:rPr>
          <w:sz w:val="20"/>
          <w:szCs w:val="20"/>
          <w:color w:val="auto"/>
        </w:rPr>
      </w:pPr>
      <w:r>
        <w:rPr>
          <w:rFonts w:ascii="Arial" w:cs="Arial" w:eastAsia="Arial" w:hAnsi="Arial"/>
          <w:sz w:val="17"/>
          <w:szCs w:val="17"/>
          <w:color w:val="auto"/>
        </w:rPr>
        <w:t>At the Canadian Malartic mine, attributable gold production increased by 8.4% to 73,613 ounces in the first quarter of 2016 compared with 67,893 ounces in the first quarter of 2015 primarily due to higher gold grade. Attributable production costs at the Canadian Malartic mine were $40.8 million in the first quarter of 2016, a decrease of 0.9% compared with production costs of $41.2 million in the first quarter of 2015 driven primarily by a weakening of the Canadian dollar relative to the US dollar.</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Kittila mine</w:t>
      </w:r>
    </w:p>
    <w:p>
      <w:pPr>
        <w:spacing w:after="0" w:line="224" w:lineRule="exact"/>
        <w:rPr>
          <w:sz w:val="20"/>
          <w:szCs w:val="20"/>
          <w:color w:val="auto"/>
        </w:rPr>
      </w:pPr>
    </w:p>
    <w:p>
      <w:pPr>
        <w:jc w:val="both"/>
        <w:ind w:firstLine="415"/>
        <w:spacing w:after="0" w:line="265" w:lineRule="auto"/>
        <w:rPr>
          <w:sz w:val="20"/>
          <w:szCs w:val="20"/>
          <w:color w:val="auto"/>
        </w:rPr>
      </w:pPr>
      <w:r>
        <w:rPr>
          <w:rFonts w:ascii="Arial" w:cs="Arial" w:eastAsia="Arial" w:hAnsi="Arial"/>
          <w:sz w:val="17"/>
          <w:szCs w:val="17"/>
          <w:color w:val="auto"/>
        </w:rPr>
        <w:t>At the Kittila mine, gold production increased by 7.8% to 48,127 ounces in the first quarter of 2016 compared with 44,654 ounces in the first quarter of 2015 primarily due to an increase in tonnes of ore milled. Production costs at the Kittila mine were $36.0 million in the first quarter of 2016, an increase of 12.6% compared with production costs of $32.0 million in the first quarter of 2015 driven primarily by increased mill throughput due to productivity improvements, partially offset by a weakening of the Euro relative to the US dollar.</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Pinos Altos mine</w:t>
      </w:r>
    </w:p>
    <w:p>
      <w:pPr>
        <w:spacing w:after="0" w:line="224" w:lineRule="exact"/>
        <w:rPr>
          <w:sz w:val="20"/>
          <w:szCs w:val="20"/>
          <w:color w:val="auto"/>
        </w:rPr>
      </w:pPr>
    </w:p>
    <w:p>
      <w:pPr>
        <w:jc w:val="both"/>
        <w:ind w:firstLine="418"/>
        <w:spacing w:after="0" w:line="265" w:lineRule="auto"/>
        <w:rPr>
          <w:sz w:val="20"/>
          <w:szCs w:val="20"/>
          <w:color w:val="auto"/>
        </w:rPr>
      </w:pPr>
      <w:r>
        <w:rPr>
          <w:rFonts w:ascii="Arial" w:cs="Arial" w:eastAsia="Arial" w:hAnsi="Arial"/>
          <w:sz w:val="17"/>
          <w:szCs w:val="17"/>
          <w:color w:val="auto"/>
        </w:rPr>
        <w:t>At the Pinos Altos mine, gold production decreased by 4.0% to 48,117 ounces in the first quarter of 2016 compared with 50,106 ounces in the first quarter of 2015 primarily due to decreases in recoveries and tonnes of ore milled between periods. Production costs at the Pinos Altos mine were $23.9 million in the first quarter of 2016, a decrease of 1.5% compared with production costs of $24.2 million in the first quarter of 2015 driven primarily by a weakening of the Mexican peso relative to the US dollar and a decrease in mill throughput between periods.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0" w:name="page11"/>
    <w:bookmarkEnd w:id="10"/>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Months Ended March 31, 2016</w:t>
      </w: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Creston Mascota deposit at Pinos Altos</w:t>
      </w:r>
    </w:p>
    <w:p>
      <w:pPr>
        <w:spacing w:after="0" w:line="224" w:lineRule="exact"/>
        <w:rPr>
          <w:sz w:val="20"/>
          <w:szCs w:val="20"/>
          <w:color w:val="auto"/>
        </w:rPr>
      </w:pPr>
    </w:p>
    <w:p>
      <w:pPr>
        <w:jc w:val="both"/>
        <w:ind w:firstLine="365"/>
        <w:spacing w:after="0" w:line="287" w:lineRule="auto"/>
        <w:rPr>
          <w:sz w:val="20"/>
          <w:szCs w:val="20"/>
          <w:color w:val="auto"/>
        </w:rPr>
      </w:pPr>
      <w:r>
        <w:rPr>
          <w:rFonts w:ascii="Arial" w:cs="Arial" w:eastAsia="Arial" w:hAnsi="Arial"/>
          <w:sz w:val="16"/>
          <w:szCs w:val="16"/>
          <w:color w:val="auto"/>
        </w:rPr>
        <w:t>At the Creston Mascota deposit at Pinos Altos, gold production decreased by 7.2% to 11,551 ounces in the first quarter of 2016 compared with 12,448 ounces in the first quarter of 2015 primarily due to a decrease in ore stacked on the heap leach pad and a decrease in gold grade between periods. Production costs at the Creston Mascota deposit at Pinos Altos were $5.8 million in the first quarter of 2016, an increase of 3.1% compared with production costs of $5.6 million in the first quarter of 2015 driven primarily by increased heap leach costs, partially offset by a weakening of the Mexican peso relative to the US dollar.</w:t>
      </w:r>
    </w:p>
    <w:p>
      <w:pPr>
        <w:spacing w:after="0" w:line="169"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La India mine</w:t>
      </w:r>
    </w:p>
    <w:p>
      <w:pPr>
        <w:spacing w:after="0" w:line="224" w:lineRule="exact"/>
        <w:rPr>
          <w:sz w:val="20"/>
          <w:szCs w:val="20"/>
          <w:color w:val="auto"/>
        </w:rPr>
      </w:pPr>
    </w:p>
    <w:p>
      <w:pPr>
        <w:jc w:val="both"/>
        <w:ind w:firstLine="384"/>
        <w:spacing w:after="0" w:line="265" w:lineRule="auto"/>
        <w:rPr>
          <w:sz w:val="20"/>
          <w:szCs w:val="20"/>
          <w:color w:val="auto"/>
        </w:rPr>
      </w:pPr>
      <w:r>
        <w:rPr>
          <w:rFonts w:ascii="Arial" w:cs="Arial" w:eastAsia="Arial" w:hAnsi="Arial"/>
          <w:sz w:val="17"/>
          <w:szCs w:val="17"/>
          <w:color w:val="auto"/>
        </w:rPr>
        <w:t>At the La India mine, gold production increased by 6.4% to 28,231 ounces in the first quarter of 2016 compared with 26,523 ounces in the first quarter of 2015 primarily due to an increase in ore stacked on the heap leach pad between periods. Production costs at the La India mine were $10.9 million in the first quarter of 2016, a decrease of 12.4% compared with production costs of $12.5 million in the first quarter of 2015 driven primarily by a weakening of the Mexican peso relative to the US dollar between periods.</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Liquidity and Capital Resources</w:t>
      </w:r>
    </w:p>
    <w:p>
      <w:pPr>
        <w:spacing w:after="0" w:line="228" w:lineRule="exact"/>
        <w:rPr>
          <w:sz w:val="20"/>
          <w:szCs w:val="20"/>
          <w:color w:val="auto"/>
        </w:rPr>
      </w:pPr>
    </w:p>
    <w:p>
      <w:pPr>
        <w:jc w:val="both"/>
        <w:ind w:firstLine="498"/>
        <w:spacing w:after="0" w:line="287" w:lineRule="auto"/>
        <w:rPr>
          <w:sz w:val="20"/>
          <w:szCs w:val="20"/>
          <w:color w:val="auto"/>
        </w:rPr>
      </w:pPr>
      <w:r>
        <w:rPr>
          <w:rFonts w:ascii="Arial" w:cs="Arial" w:eastAsia="Arial" w:hAnsi="Arial"/>
          <w:sz w:val="16"/>
          <w:szCs w:val="16"/>
          <w:color w:val="auto"/>
        </w:rPr>
        <w:t>As at March 31, 2016, the Company's cash and cash equivalents, short-term investments and current restricted cash totaled $168.6 million compared with $132.3 million at December 31, 2015. The Company's policy is to invest excess cash in highly liquid investments of the highest credit quality to eliminate risks associated with these investments. Such investments with remaining maturities of greater than three months and less than one year at the time of purchase are classified as short-term investments. Decisions regarding the length of maturities are based on cash flow requirements, rates of return and various other factors.</w:t>
      </w:r>
    </w:p>
    <w:p>
      <w:pPr>
        <w:spacing w:after="0" w:line="169" w:lineRule="exact"/>
        <w:rPr>
          <w:sz w:val="20"/>
          <w:szCs w:val="20"/>
          <w:color w:val="auto"/>
        </w:rPr>
      </w:pPr>
    </w:p>
    <w:p>
      <w:pPr>
        <w:ind w:left="340"/>
        <w:spacing w:after="0"/>
        <w:rPr>
          <w:sz w:val="20"/>
          <w:szCs w:val="20"/>
          <w:color w:val="auto"/>
        </w:rPr>
      </w:pPr>
      <w:r>
        <w:rPr>
          <w:rFonts w:ascii="Arial" w:cs="Arial" w:eastAsia="Arial" w:hAnsi="Arial"/>
          <w:sz w:val="16"/>
          <w:szCs w:val="16"/>
          <w:color w:val="auto"/>
        </w:rPr>
        <w:t>Working capital (current assets less current liabilities) increased to $610.4 million at March 31, 2016 compared with $517.9 million at December 31, 2015.</w:t>
      </w:r>
    </w:p>
    <w:p>
      <w:pPr>
        <w:spacing w:after="0" w:line="23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Operating Activities</w:t>
      </w:r>
    </w:p>
    <w:p>
      <w:pPr>
        <w:spacing w:after="0" w:line="224" w:lineRule="exact"/>
        <w:rPr>
          <w:sz w:val="20"/>
          <w:szCs w:val="20"/>
          <w:color w:val="auto"/>
        </w:rPr>
      </w:pPr>
    </w:p>
    <w:p>
      <w:pPr>
        <w:jc w:val="both"/>
        <w:ind w:firstLine="375"/>
        <w:spacing w:after="0" w:line="322" w:lineRule="auto"/>
        <w:rPr>
          <w:sz w:val="20"/>
          <w:szCs w:val="20"/>
          <w:color w:val="auto"/>
        </w:rPr>
      </w:pPr>
      <w:r>
        <w:rPr>
          <w:rFonts w:ascii="Arial" w:cs="Arial" w:eastAsia="Arial" w:hAnsi="Arial"/>
          <w:sz w:val="15"/>
          <w:szCs w:val="15"/>
          <w:color w:val="auto"/>
        </w:rPr>
        <w:t>Cash provided by operating activities of $145.7 million in the first quarter of 2016 was comparable to $143.5 million in the first quarter of 2015. Operating cash flows increased due to a 1.8% increase in gold production, a 1.3% decrease in production costs and more favourable working capital changes between periods. Partially offsetting these positive impacts on cash provided by operating activities was a 0.8% decrease in the average realized price of gold between periods.</w:t>
      </w:r>
    </w:p>
    <w:p>
      <w:pPr>
        <w:spacing w:after="0" w:line="14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Investing Activities</w:t>
      </w:r>
    </w:p>
    <w:p>
      <w:pPr>
        <w:spacing w:after="0" w:line="224" w:lineRule="exact"/>
        <w:rPr>
          <w:sz w:val="20"/>
          <w:szCs w:val="20"/>
          <w:color w:val="auto"/>
        </w:rPr>
      </w:pPr>
    </w:p>
    <w:p>
      <w:pPr>
        <w:jc w:val="both"/>
        <w:ind w:firstLine="344"/>
        <w:spacing w:after="0" w:line="265" w:lineRule="auto"/>
        <w:rPr>
          <w:sz w:val="20"/>
          <w:szCs w:val="20"/>
          <w:color w:val="auto"/>
        </w:rPr>
      </w:pPr>
      <w:r>
        <w:rPr>
          <w:rFonts w:ascii="Arial" w:cs="Arial" w:eastAsia="Arial" w:hAnsi="Arial"/>
          <w:sz w:val="17"/>
          <w:szCs w:val="17"/>
          <w:color w:val="auto"/>
        </w:rPr>
        <w:t>Cash used in investing activities increased to $107.6 million in the first quarter of 2016 compared with $53.9 million in the first quarter of 2015 primarily due to a $37.4 million decrease in net proceeds from the sale of available-for-sale securities and other investments. Partially offsetting this decrease was a $17.8 million increase in capital expenditures between periods. The increase in capital expenditures between periods is mainly attributable to increased development expenditures incurred in the first quarter of 2016 at the Meliadine project and the Goldex and Pinos Altos mines.</w:t>
      </w:r>
    </w:p>
    <w:p>
      <w:pPr>
        <w:spacing w:after="0" w:line="185" w:lineRule="exact"/>
        <w:rPr>
          <w:sz w:val="20"/>
          <w:szCs w:val="20"/>
          <w:color w:val="auto"/>
        </w:rPr>
      </w:pPr>
    </w:p>
    <w:p>
      <w:pPr>
        <w:jc w:val="both"/>
        <w:ind w:firstLine="432"/>
        <w:spacing w:after="0" w:line="265" w:lineRule="auto"/>
        <w:rPr>
          <w:sz w:val="20"/>
          <w:szCs w:val="20"/>
          <w:color w:val="auto"/>
        </w:rPr>
      </w:pPr>
      <w:r>
        <w:rPr>
          <w:rFonts w:ascii="Arial" w:cs="Arial" w:eastAsia="Arial" w:hAnsi="Arial"/>
          <w:sz w:val="17"/>
          <w:szCs w:val="17"/>
          <w:color w:val="auto"/>
        </w:rPr>
        <w:t>In the first quarter of 2016, the Company purchased $9.4 million in available-for-sale securities and other investments compared with $5.3 million in the first quarter of 2015. In the first quarter of 2016, the Company received net proceeds of $0.3 million from the sale of available-for-sale securities and other investments compared with $37.7 million in the first quarter of 2015. The Company's investments in available-for-sale securities consist primarily of investments in common shares of entities in the mining industry.</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1" w:name="page12"/>
    <w:bookmarkEnd w:id="11"/>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Months Ended March 31, 2016</w:t>
      </w:r>
    </w:p>
    <w:p>
      <w:pPr>
        <w:spacing w:after="0" w:line="218" w:lineRule="exact"/>
        <w:rPr>
          <w:sz w:val="20"/>
          <w:szCs w:val="20"/>
          <w:color w:val="auto"/>
        </w:rPr>
      </w:pPr>
    </w:p>
    <w:p>
      <w:pPr>
        <w:jc w:val="both"/>
        <w:ind w:firstLine="406"/>
        <w:spacing w:after="0" w:line="265" w:lineRule="auto"/>
        <w:rPr>
          <w:sz w:val="20"/>
          <w:szCs w:val="20"/>
          <w:color w:val="auto"/>
        </w:rPr>
      </w:pPr>
      <w:r>
        <w:rPr>
          <w:rFonts w:ascii="Arial" w:cs="Arial" w:eastAsia="Arial" w:hAnsi="Arial"/>
          <w:sz w:val="17"/>
          <w:szCs w:val="17"/>
          <w:color w:val="auto"/>
        </w:rPr>
        <w:t>On March 16, 2016, the Company subscribed for 11,680,000 common shares of Belo Sun Mining Corp. ("Belo Sun") in a non-brokered private placement at a price of C$0.53 per Belo Sun common share, for total cash consideration of C$6.2 million. Upon closing the transaction, the Company held approximately 19.95% of the issued and outstanding common shares of Belo Sun. On March 21, 2016, Belo Sun issued an additional 11,000,000 common shares in a private placement which diluted the Company's share ownership to 19.4%.</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Financing Activities</w:t>
      </w:r>
    </w:p>
    <w:p>
      <w:pPr>
        <w:spacing w:after="0" w:line="224" w:lineRule="exact"/>
        <w:rPr>
          <w:sz w:val="20"/>
          <w:szCs w:val="20"/>
          <w:color w:val="auto"/>
        </w:rPr>
      </w:pPr>
    </w:p>
    <w:p>
      <w:pPr>
        <w:jc w:val="both"/>
        <w:ind w:firstLine="353"/>
        <w:spacing w:after="0" w:line="270" w:lineRule="auto"/>
        <w:rPr>
          <w:sz w:val="20"/>
          <w:szCs w:val="20"/>
          <w:color w:val="auto"/>
        </w:rPr>
      </w:pPr>
      <w:r>
        <w:rPr>
          <w:rFonts w:ascii="Arial" w:cs="Arial" w:eastAsia="Arial" w:hAnsi="Arial"/>
          <w:sz w:val="17"/>
          <w:szCs w:val="17"/>
          <w:color w:val="auto"/>
        </w:rPr>
        <w:t>Cash used in financing activities decreased to $1.6 million in the first quarter of 2016 compared with $123.2 million in the first quarter of 2015 primarily due to a $56.2 million increase in proceeds on employee stock option plan exercises, a $45.0 million decrease in the net repayment of the Credit Facility between periods and a $18.8 million increase in proceeds from common shares issued in the period.</w:t>
      </w:r>
    </w:p>
    <w:p>
      <w:pPr>
        <w:spacing w:after="0" w:line="179" w:lineRule="exact"/>
        <w:rPr>
          <w:sz w:val="20"/>
          <w:szCs w:val="20"/>
          <w:color w:val="auto"/>
        </w:rPr>
      </w:pPr>
    </w:p>
    <w:p>
      <w:pPr>
        <w:jc w:val="both"/>
        <w:ind w:firstLine="367"/>
        <w:spacing w:after="0" w:line="294" w:lineRule="auto"/>
        <w:rPr>
          <w:sz w:val="20"/>
          <w:szCs w:val="20"/>
          <w:color w:val="auto"/>
        </w:rPr>
      </w:pPr>
      <w:r>
        <w:rPr>
          <w:rFonts w:ascii="Arial" w:cs="Arial" w:eastAsia="Arial" w:hAnsi="Arial"/>
          <w:sz w:val="16"/>
          <w:szCs w:val="16"/>
          <w:color w:val="auto"/>
        </w:rPr>
        <w:t>The Company issued common shares for gross proceeds of $21.2 million in the first quarter of 2016 attributable to the issuance of flow-through common shares, issuances under the incentive share purchase plan and the dividend reinvestment plan. In the first quarter of 2015, the Company issued common shares for gross proceeds of $2.4 million attributable to issuances under the incentive share purchase plan and the dividend reinvestment plan.</w:t>
      </w:r>
    </w:p>
    <w:p>
      <w:pPr>
        <w:spacing w:after="0" w:line="163" w:lineRule="exact"/>
        <w:rPr>
          <w:sz w:val="20"/>
          <w:szCs w:val="20"/>
          <w:color w:val="auto"/>
        </w:rPr>
      </w:pPr>
    </w:p>
    <w:p>
      <w:pPr>
        <w:jc w:val="both"/>
        <w:ind w:firstLine="386"/>
        <w:spacing w:after="0" w:line="278" w:lineRule="auto"/>
        <w:rPr>
          <w:sz w:val="20"/>
          <w:szCs w:val="20"/>
          <w:color w:val="auto"/>
        </w:rPr>
      </w:pPr>
      <w:r>
        <w:rPr>
          <w:rFonts w:ascii="Arial" w:cs="Arial" w:eastAsia="Arial" w:hAnsi="Arial"/>
          <w:sz w:val="16"/>
          <w:szCs w:val="16"/>
          <w:color w:val="auto"/>
        </w:rPr>
        <w:t>On March 10, 2016, the Company raised approximately C$25.0 million ($18.7 million) through the issuance of 374,869 flow-through common shares at a price of C$66.69 per common share. Flow-through shares are securities issued to investors whereby the deductions for tax purposes related to resource exploration and evaluation expenditures may be claimed by investors instead of the issuer, subject to a renouncement process. At the time the flow-through shares are issued, the sale of tax deductions is deferred and presented in the accounts payable and accrued liabilities line item in the balance sheet because the Company has not yet fulfilled its obligation to pass on the tax deductions to the investor. When the Company fulfills its obligation, the sale of tax deductions is recognized in the income statement as a reduction of deferred tax expense. The closing price of the Company's common shares on the March 10, 2016 issuance date was C$48.49, resulting in an increase to share capital of approximately C$18.2 million ($13.6 million). The related C$6.8 million ($5.1 million) liability will be drawn down as eligible expenditures are incurred because the Company has a positive intention to renounce these expenses. In Q1 2016, the liability was drawn down by C$0.4 million ($0.3 million) based on eligible expenditures incurred.</w:t>
      </w:r>
    </w:p>
    <w:p>
      <w:pPr>
        <w:spacing w:after="0" w:line="179" w:lineRule="exact"/>
        <w:rPr>
          <w:sz w:val="20"/>
          <w:szCs w:val="20"/>
          <w:color w:val="auto"/>
        </w:rPr>
      </w:pPr>
    </w:p>
    <w:p>
      <w:pPr>
        <w:jc w:val="both"/>
        <w:ind w:firstLine="371"/>
        <w:spacing w:after="0" w:line="287" w:lineRule="auto"/>
        <w:rPr>
          <w:sz w:val="20"/>
          <w:szCs w:val="20"/>
          <w:color w:val="auto"/>
        </w:rPr>
      </w:pPr>
      <w:r>
        <w:rPr>
          <w:rFonts w:ascii="Arial" w:cs="Arial" w:eastAsia="Arial" w:hAnsi="Arial"/>
          <w:sz w:val="16"/>
          <w:szCs w:val="16"/>
          <w:color w:val="auto"/>
        </w:rPr>
        <w:t>On February 10, 2016, Agnico Eagle declared a quarterly cash dividend of $0.08 per common share paid on March 15, 2016 to holders of record of the common shares of the Company on March 1, 2016. Agnico Eagle has declared a cash dividend every year since 1983. In the first quarter of 2016, the Company paid dividends of $14.8 million consistent with $14.8 million in the first quarter of 2015. Although the Company expects to continue paying dividends, future dividends will be at the discretion of the Board and will be subject to factors such as income, financial condition and capital requirements.</w:t>
      </w:r>
    </w:p>
    <w:p>
      <w:pPr>
        <w:spacing w:after="0" w:line="169" w:lineRule="exact"/>
        <w:rPr>
          <w:sz w:val="20"/>
          <w:szCs w:val="20"/>
          <w:color w:val="auto"/>
        </w:rPr>
      </w:pPr>
    </w:p>
    <w:p>
      <w:pPr>
        <w:jc w:val="both"/>
        <w:ind w:firstLine="398"/>
        <w:spacing w:after="0" w:line="265" w:lineRule="auto"/>
        <w:rPr>
          <w:sz w:val="20"/>
          <w:szCs w:val="20"/>
          <w:color w:val="auto"/>
        </w:rPr>
      </w:pPr>
      <w:r>
        <w:rPr>
          <w:rFonts w:ascii="Arial" w:cs="Arial" w:eastAsia="Arial" w:hAnsi="Arial"/>
          <w:sz w:val="17"/>
          <w:szCs w:val="17"/>
          <w:color w:val="auto"/>
        </w:rPr>
        <w:t>On September 30, 2015, the Company amended its $1.2 billion Credit Facility, among other things, extending the maturity date from June 22, 2019 to June 22, 2020 and amending pricing terms. As at March 31, 2016, the Company's outstanding balance under the Credit Facility was $210.0 million. Credit Facility availability is reduced by outstanding letters of credit, amounting to $1.0 million at March 31, 2016. As at March 31, 2016, $989.0 million was available for future drawdown under the Credit Facility.</w:t>
      </w:r>
    </w:p>
    <w:p>
      <w:pPr>
        <w:spacing w:after="0" w:line="185" w:lineRule="exact"/>
        <w:rPr>
          <w:sz w:val="20"/>
          <w:szCs w:val="20"/>
          <w:color w:val="auto"/>
        </w:rPr>
      </w:pPr>
    </w:p>
    <w:p>
      <w:pPr>
        <w:jc w:val="both"/>
        <w:ind w:firstLine="551"/>
        <w:spacing w:after="0" w:line="311" w:lineRule="auto"/>
        <w:rPr>
          <w:sz w:val="20"/>
          <w:szCs w:val="20"/>
          <w:color w:val="auto"/>
        </w:rPr>
      </w:pPr>
      <w:r>
        <w:rPr>
          <w:rFonts w:ascii="Arial" w:cs="Arial" w:eastAsia="Arial" w:hAnsi="Arial"/>
          <w:sz w:val="15"/>
          <w:szCs w:val="15"/>
          <w:color w:val="auto"/>
        </w:rPr>
        <w:t>On September 23, 2015, the Company entered into a standby letter of credit facility with a financial institution providing for a further C$150.0 million uncommitted letter of credit facility (as amended, the "New LC Facility"). The New LC Facility may be used by the Company to support the reclamation obligations of the Company, its subsidiaries or any entity in which the Company has a direct or indirect interest or the performance obligations (other than with respect to indebtedness for borrowed money) of the Company, its subsidiaries or any entity in which the Company has a direct or indirect interest that are not directly related to</w:t>
      </w:r>
    </w:p>
    <w:p>
      <w:pPr>
        <w:spacing w:after="0" w:line="15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2" w:name="page13"/>
    <w:bookmarkEnd w:id="12"/>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Months Ended March 31, 2016</w:t>
      </w:r>
    </w:p>
    <w:p>
      <w:pPr>
        <w:spacing w:after="0" w:line="218"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reclamation obligations. Payment and performance of the Company's obligations under the New LC Facility are supported by guarantees issued by Export Development Canada under a contract insurance bonding program agreement (the "EDC Facility") in favour of the lender. As at March 31, 2016, $74.5 million had been drawn under the New LC Facility.</w:t>
      </w:r>
    </w:p>
    <w:p>
      <w:pPr>
        <w:spacing w:after="0" w:line="179" w:lineRule="exact"/>
        <w:rPr>
          <w:sz w:val="20"/>
          <w:szCs w:val="20"/>
          <w:color w:val="auto"/>
        </w:rPr>
      </w:pPr>
    </w:p>
    <w:p>
      <w:pPr>
        <w:jc w:val="both"/>
        <w:ind w:firstLine="398"/>
        <w:spacing w:after="0" w:line="283" w:lineRule="auto"/>
        <w:rPr>
          <w:sz w:val="20"/>
          <w:szCs w:val="20"/>
          <w:color w:val="auto"/>
        </w:rPr>
      </w:pPr>
      <w:r>
        <w:rPr>
          <w:rFonts w:ascii="Arial" w:cs="Arial" w:eastAsia="Arial" w:hAnsi="Arial"/>
          <w:sz w:val="16"/>
          <w:szCs w:val="16"/>
          <w:color w:val="auto"/>
        </w:rPr>
        <w:t>On July 31, 2015, the Company amended its credit agreement with another financial institution relating to its uncommitted letter of credit facility (as amended, the "Existing LC Facility"). The amount available under the Existing LC Facility increased from C$175.0 million to C$200.0 million. Effective September 28, 2015, the amount available under the Existing LC Facility was increased to C$250.0 million. The obligations of the Company under the Existing LC Facility are guaranteed by certain of its subsidiaries. The Existing LC Facility may be used to support the reclamation obligations or non-financial or performance obligations of the Company or its subsidiaries. As at March 31, 2016, $184.2 million had been drawn under the Existing LC Facility.</w:t>
      </w:r>
    </w:p>
    <w:p>
      <w:pPr>
        <w:spacing w:after="0" w:line="174" w:lineRule="exact"/>
        <w:rPr>
          <w:sz w:val="20"/>
          <w:szCs w:val="20"/>
          <w:color w:val="auto"/>
        </w:rPr>
      </w:pPr>
    </w:p>
    <w:p>
      <w:pPr>
        <w:jc w:val="both"/>
        <w:ind w:firstLine="384"/>
        <w:spacing w:after="0" w:line="352" w:lineRule="auto"/>
        <w:rPr>
          <w:sz w:val="20"/>
          <w:szCs w:val="20"/>
          <w:color w:val="auto"/>
        </w:rPr>
      </w:pPr>
      <w:r>
        <w:rPr>
          <w:rFonts w:ascii="Arial" w:cs="Arial" w:eastAsia="Arial" w:hAnsi="Arial"/>
          <w:sz w:val="15"/>
          <w:szCs w:val="15"/>
          <w:color w:val="auto"/>
        </w:rPr>
        <w:t>In connection with its joint acquisition of Osisko on June 16, 2014, Canadian Malartic GP was assigned and assumed certain outstanding debt and finance lease obligations of Osisko relating to the Canadian Malartic mine. Agnico Eagle's indirect attributable interest in such debt and finance lease obligations is as set out below:</w:t>
      </w:r>
    </w:p>
    <w:p>
      <w:pPr>
        <w:spacing w:after="0" w:line="136" w:lineRule="exact"/>
        <w:rPr>
          <w:sz w:val="20"/>
          <w:szCs w:val="20"/>
          <w:color w:val="auto"/>
        </w:rPr>
      </w:pPr>
    </w:p>
    <w:p>
      <w:pPr>
        <w:jc w:val="both"/>
        <w:ind w:left="1060" w:hanging="531"/>
        <w:spacing w:after="0" w:line="263" w:lineRule="auto"/>
        <w:tabs>
          <w:tab w:leader="none" w:pos="1060" w:val="left"/>
        </w:tabs>
        <w:numPr>
          <w:ilvl w:val="0"/>
          <w:numId w:val="1"/>
        </w:numPr>
        <w:rPr>
          <w:rFonts w:ascii="Arial" w:cs="Arial" w:eastAsia="Arial" w:hAnsi="Arial"/>
          <w:sz w:val="17"/>
          <w:szCs w:val="17"/>
          <w:color w:val="auto"/>
        </w:rPr>
      </w:pPr>
      <w:r>
        <w:rPr>
          <w:rFonts w:ascii="Arial" w:cs="Arial" w:eastAsia="Arial" w:hAnsi="Arial"/>
          <w:sz w:val="17"/>
          <w:szCs w:val="17"/>
          <w:color w:val="auto"/>
        </w:rPr>
        <w:t>A secured loan facility in the principal amount of C$75.0 million ($69.1 million) with scheduled C$20.0 million repayments on June 30, 2016 and June 30, 2017 and a 6.875% per annum interest rate. A scheduled repayment of C$15.0 million ($14.1 million) was made subsequent to the June 16, 2014 acquisition date and the scheduled C$20.0 million ($16.0 million) repayment was made on June 30, 2015, resulting in attributable outstanding principal of C$40.0 million ($30.8 million) as at March 31, 2016. On September 29, 2014, Canadian Malartic GP amended the acquired secured loan facility (the "CMGP Loan") with no change to maturity or pricing terms.</w:t>
      </w:r>
    </w:p>
    <w:p>
      <w:pPr>
        <w:spacing w:after="0" w:line="213"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1"/>
        </w:numPr>
        <w:rPr>
          <w:rFonts w:ascii="Arial" w:cs="Arial" w:eastAsia="Arial" w:hAnsi="Arial"/>
          <w:sz w:val="17"/>
          <w:szCs w:val="17"/>
          <w:color w:val="auto"/>
        </w:rPr>
      </w:pPr>
      <w:r>
        <w:rPr>
          <w:rFonts w:ascii="Arial" w:cs="Arial" w:eastAsia="Arial" w:hAnsi="Arial"/>
          <w:sz w:val="17"/>
          <w:szCs w:val="17"/>
          <w:color w:val="auto"/>
        </w:rPr>
        <w:t>Secured finance lease obligations of C$38.3 million ($35.3 million) provided in separate tranches with maturities ranging between 2015 and 2019 and a 7.5% interest rate. As at March 31, 2016, the Company's attributable finance lease obligations were $11.7 million.</w:t>
      </w:r>
    </w:p>
    <w:p>
      <w:pPr>
        <w:spacing w:after="0" w:line="170" w:lineRule="exact"/>
        <w:rPr>
          <w:sz w:val="20"/>
          <w:szCs w:val="20"/>
          <w:color w:val="auto"/>
        </w:rPr>
      </w:pPr>
    </w:p>
    <w:p>
      <w:pPr>
        <w:jc w:val="both"/>
        <w:ind w:firstLine="371"/>
        <w:spacing w:after="0" w:line="315" w:lineRule="auto"/>
        <w:rPr>
          <w:sz w:val="20"/>
          <w:szCs w:val="20"/>
          <w:color w:val="auto"/>
        </w:rPr>
      </w:pPr>
      <w:r>
        <w:rPr>
          <w:rFonts w:ascii="Arial" w:cs="Arial" w:eastAsia="Arial" w:hAnsi="Arial"/>
          <w:sz w:val="16"/>
          <w:szCs w:val="16"/>
          <w:color w:val="auto"/>
        </w:rPr>
        <w:t>The Company was in compliance with all covenants contained in the Credit Facility, 2015 Note, 2012 Notes, 2010 Notes, Existing LC Facility, New LC Facility and the EDC Facility as at March 31, 2016. Canadian Malartic GP was in compliance with all covenants under the CMGP Loan as at March 31, 2016.</w:t>
      </w:r>
    </w:p>
    <w:p>
      <w:pPr>
        <w:spacing w:after="0" w:line="14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Risk Profile</w:t>
      </w:r>
    </w:p>
    <w:p>
      <w:pPr>
        <w:spacing w:after="0" w:line="228" w:lineRule="exact"/>
        <w:rPr>
          <w:sz w:val="20"/>
          <w:szCs w:val="20"/>
          <w:color w:val="auto"/>
        </w:rPr>
      </w:pPr>
    </w:p>
    <w:p>
      <w:pPr>
        <w:jc w:val="both"/>
        <w:ind w:firstLine="420"/>
        <w:spacing w:after="0" w:line="262" w:lineRule="auto"/>
        <w:rPr>
          <w:sz w:val="20"/>
          <w:szCs w:val="20"/>
          <w:color w:val="auto"/>
        </w:rPr>
      </w:pPr>
      <w:r>
        <w:rPr>
          <w:rFonts w:ascii="Arial" w:cs="Arial" w:eastAsia="Arial" w:hAnsi="Arial"/>
          <w:sz w:val="17"/>
          <w:szCs w:val="17"/>
          <w:color w:val="auto"/>
        </w:rPr>
        <w:t>Volatility remains high in global financial markets and weakness in the global economy continues to have an impact on the profitability and liquidity of many businesses. Although there are signs of stabilization, the timing of a return to historical market conditions is uncertain. Weak economic conditions and volatile financial markets may have a significant impact on Agnico Eagle's business. In particular, the global credit/liquidity crisis could continue to affect the cost and availability of financing and Agnico Eagle's cost and availability of financing and overall liquidity. The volatility in gold, silver, zinc and copper prices directly affects Agnico Eagle's revenues, earnings and cash flow. Volatile energy, commodity and consumables prices and currency exchange rates impact production costs. The volatility of global stock markets impacts the valuation of the Company's equity investments.</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Disclosure Controls and Procedures and Internal Controls over Financial Reporting</w:t>
      </w:r>
    </w:p>
    <w:p>
      <w:pPr>
        <w:spacing w:after="0" w:line="228" w:lineRule="exact"/>
        <w:rPr>
          <w:sz w:val="20"/>
          <w:szCs w:val="20"/>
          <w:color w:val="auto"/>
        </w:rPr>
      </w:pPr>
    </w:p>
    <w:p>
      <w:pPr>
        <w:jc w:val="both"/>
        <w:ind w:firstLine="358"/>
        <w:spacing w:after="0" w:line="322" w:lineRule="auto"/>
        <w:rPr>
          <w:sz w:val="20"/>
          <w:szCs w:val="20"/>
          <w:color w:val="auto"/>
        </w:rPr>
      </w:pPr>
      <w:r>
        <w:rPr>
          <w:rFonts w:ascii="Arial" w:cs="Arial" w:eastAsia="Arial" w:hAnsi="Arial"/>
          <w:sz w:val="15"/>
          <w:szCs w:val="15"/>
          <w:color w:val="auto"/>
        </w:rPr>
        <w:t>Pursuant to regulations adopted by the SEC under the Sarbanes-Oxley Act of 2002 and those of the CSA, the Company's management evaluates the effectiveness of the design and operation of the Company's disclosure controls as well as its procedures and internal controls over financial reporting. This evaluation is completed under the supervision of, and with the participation of, the Company's Chief Executive Officer ("CEO") and Chief Financial Officer ("CFO").</w:t>
      </w:r>
    </w:p>
    <w:p>
      <w:pPr>
        <w:spacing w:after="0" w:line="14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3" w:name="page14"/>
    <w:bookmarkEnd w:id="13"/>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Months Ended March 31, 2016</w:t>
      </w:r>
    </w:p>
    <w:p>
      <w:pPr>
        <w:spacing w:after="0" w:line="218" w:lineRule="exact"/>
        <w:rPr>
          <w:sz w:val="20"/>
          <w:szCs w:val="20"/>
          <w:color w:val="auto"/>
        </w:rPr>
      </w:pPr>
    </w:p>
    <w:p>
      <w:pPr>
        <w:jc w:val="both"/>
        <w:ind w:firstLine="511"/>
        <w:spacing w:after="0" w:line="263" w:lineRule="auto"/>
        <w:rPr>
          <w:sz w:val="20"/>
          <w:szCs w:val="20"/>
          <w:color w:val="auto"/>
        </w:rPr>
      </w:pPr>
      <w:r>
        <w:rPr>
          <w:rFonts w:ascii="Arial" w:cs="Arial" w:eastAsia="Arial" w:hAnsi="Arial"/>
          <w:sz w:val="17"/>
          <w:szCs w:val="17"/>
          <w:color w:val="auto"/>
        </w:rPr>
        <w:t>Management of the Company, with the participation of the CEO and CFO, is responsible for establishing and maintaining adequate internal controls over financial reporting. The Company's internal controls over financial reporting are designed to provide reasonable assurance regarding the reliability of financial reporting and preparation of consolidated financial statements for external purposes in accordance with generally accepted accounting principles. There have been no significant changes in the Company's internal control over financial reporting in the first quarter of 2016 that have materially affected, or are reasonably likely to materially affect, the reliability of financial reporting.</w:t>
      </w:r>
    </w:p>
    <w:p>
      <w:pPr>
        <w:spacing w:after="0" w:line="187" w:lineRule="exact"/>
        <w:rPr>
          <w:sz w:val="20"/>
          <w:szCs w:val="20"/>
          <w:color w:val="auto"/>
        </w:rPr>
      </w:pPr>
    </w:p>
    <w:p>
      <w:pPr>
        <w:jc w:val="both"/>
        <w:ind w:firstLine="446"/>
        <w:spacing w:after="0" w:line="270" w:lineRule="auto"/>
        <w:rPr>
          <w:sz w:val="20"/>
          <w:szCs w:val="20"/>
          <w:color w:val="auto"/>
        </w:rPr>
      </w:pPr>
      <w:r>
        <w:rPr>
          <w:rFonts w:ascii="Arial" w:cs="Arial" w:eastAsia="Arial" w:hAnsi="Arial"/>
          <w:sz w:val="17"/>
          <w:szCs w:val="17"/>
          <w:color w:val="auto"/>
        </w:rPr>
        <w:t>The Company's management, including the CEO and CFO, recognizes there are inherent limitations in any system of disclosure controls and procedures and internal controls over financial reporting, no matter how well designed. Therefore, even those systems that are considered to be effective can provide only reasonable assurance that the objectives of the control system are met.</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Non-GAAP Financial Performance Measures</w:t>
      </w:r>
    </w:p>
    <w:p>
      <w:pPr>
        <w:spacing w:after="0" w:line="228" w:lineRule="exact"/>
        <w:rPr>
          <w:sz w:val="20"/>
          <w:szCs w:val="20"/>
          <w:color w:val="auto"/>
        </w:rPr>
      </w:pPr>
    </w:p>
    <w:p>
      <w:pPr>
        <w:jc w:val="both"/>
        <w:ind w:firstLine="387"/>
        <w:spacing w:after="0" w:line="265" w:lineRule="auto"/>
        <w:rPr>
          <w:sz w:val="20"/>
          <w:szCs w:val="20"/>
          <w:color w:val="auto"/>
        </w:rPr>
      </w:pPr>
      <w:r>
        <w:rPr>
          <w:rFonts w:ascii="Arial" w:cs="Arial" w:eastAsia="Arial" w:hAnsi="Arial"/>
          <w:sz w:val="17"/>
          <w:szCs w:val="17"/>
          <w:color w:val="auto"/>
        </w:rPr>
        <w:t>This MD&amp;A presents certain financial performance measures, including adjusted net income, total cash costs per ounce of gold produced (on both a by-product and co-product basis), minesite costs per tonne and all-in sustaining costs per ounce of gold produced, that are not recognized measures under IFRS. This data may not be comparable to data presented by other gold producers. Non-GAAP financial performance measures should be considered together with other data prepared in accordance with IFRS.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4" w:name="page15"/>
    <w:bookmarkEnd w:id="14"/>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Months Ended March 31, 2016</w:t>
      </w: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Adjusted Net Income</w:t>
      </w:r>
    </w:p>
    <w:p>
      <w:pPr>
        <w:spacing w:after="0" w:line="224" w:lineRule="exact"/>
        <w:rPr>
          <w:sz w:val="20"/>
          <w:szCs w:val="20"/>
          <w:color w:val="auto"/>
        </w:rPr>
      </w:pPr>
    </w:p>
    <w:p>
      <w:pPr>
        <w:jc w:val="both"/>
        <w:ind w:firstLine="412"/>
        <w:spacing w:after="0" w:line="306" w:lineRule="auto"/>
        <w:rPr>
          <w:sz w:val="20"/>
          <w:szCs w:val="20"/>
          <w:color w:val="auto"/>
        </w:rPr>
      </w:pPr>
      <w:r>
        <w:rPr>
          <w:rFonts w:ascii="Arial" w:cs="Arial" w:eastAsia="Arial" w:hAnsi="Arial"/>
          <w:sz w:val="15"/>
          <w:szCs w:val="15"/>
          <w:color w:val="auto"/>
        </w:rPr>
        <w:t>Adjusted net income is not a recognized measure under IFRS and this data may not be comparable to data presented by other gold producers. This measure is calculated by adjusting net income as recorded in the condensed interim consolidated statements of income and comprehensive income for non-recurring, unusual and other items. The Company believes that this generally accepted industry measure allows the evaluation of the results of continuing operations and is useful in making comparisons between periods. Adjusted net income is intended to provide investors with information about the Company's continuing income generating capabilities. Management uses this measure to monitor and plan for the operating performance of the Company in conjunction with other data prepared in accordance with IFRS.</w:t>
      </w:r>
    </w:p>
    <w:p>
      <w:pPr>
        <w:spacing w:after="0" w:line="149"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2200" w:type="dxa"/>
            <w:vAlign w:val="bottom"/>
          </w:tcPr>
          <w:p>
            <w:pPr>
              <w:spacing w:after="0"/>
              <w:rPr>
                <w:sz w:val="13"/>
                <w:szCs w:val="13"/>
                <w:color w:val="auto"/>
              </w:rPr>
            </w:pPr>
          </w:p>
        </w:tc>
        <w:tc>
          <w:tcPr>
            <w:tcW w:w="3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40" w:type="dxa"/>
            <w:vAlign w:val="bottom"/>
            <w:gridSpan w:val="2"/>
          </w:tcPr>
          <w:p>
            <w:pPr>
              <w:jc w:val="right"/>
              <w:ind w:right="24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13"/>
                <w:szCs w:val="13"/>
                <w:color w:val="auto"/>
              </w:rPr>
            </w:pPr>
          </w:p>
        </w:tc>
        <w:tc>
          <w:tcPr>
            <w:tcW w:w="1420" w:type="dxa"/>
            <w:vAlign w:val="bottom"/>
            <w:gridSpan w:val="2"/>
          </w:tcPr>
          <w:p>
            <w:pPr>
              <w:jc w:val="right"/>
              <w:ind w:right="240"/>
              <w:spacing w:after="0"/>
              <w:rPr>
                <w:sz w:val="20"/>
                <w:szCs w:val="20"/>
                <w:color w:val="auto"/>
              </w:rPr>
            </w:pPr>
            <w:r>
              <w:rPr>
                <w:rFonts w:ascii="Arial" w:cs="Arial" w:eastAsia="Arial" w:hAnsi="Arial"/>
                <w:sz w:val="13"/>
                <w:szCs w:val="13"/>
                <w:b w:val="1"/>
                <w:bCs w:val="1"/>
                <w:color w:val="auto"/>
                <w:w w:val="90"/>
              </w:rPr>
              <w:t>Three Months Ended</w:t>
            </w:r>
          </w:p>
        </w:tc>
        <w:tc>
          <w:tcPr>
            <w:tcW w:w="0" w:type="dxa"/>
            <w:vAlign w:val="bottom"/>
          </w:tcPr>
          <w:p>
            <w:pPr>
              <w:spacing w:after="0"/>
              <w:rPr>
                <w:sz w:val="1"/>
                <w:szCs w:val="1"/>
                <w:color w:val="auto"/>
              </w:rPr>
            </w:pPr>
          </w:p>
        </w:tc>
      </w:tr>
      <w:tr>
        <w:trPr>
          <w:trHeight w:val="157"/>
        </w:trPr>
        <w:tc>
          <w:tcPr>
            <w:tcW w:w="2200" w:type="dxa"/>
            <w:vAlign w:val="bottom"/>
            <w:tcBorders>
              <w:bottom w:val="single" w:sz="8" w:color="auto"/>
            </w:tcBorders>
          </w:tcPr>
          <w:p>
            <w:pPr>
              <w:ind w:left="20"/>
              <w:spacing w:after="0"/>
              <w:rPr>
                <w:sz w:val="20"/>
                <w:szCs w:val="20"/>
                <w:color w:val="auto"/>
              </w:rPr>
            </w:pPr>
            <w:r>
              <w:rPr>
                <w:rFonts w:ascii="Arial" w:cs="Arial" w:eastAsia="Arial" w:hAnsi="Arial"/>
                <w:sz w:val="13"/>
                <w:szCs w:val="13"/>
                <w:b w:val="1"/>
                <w:bCs w:val="1"/>
                <w:color w:val="auto"/>
                <w:w w:val="96"/>
              </w:rPr>
              <w:t>(thousands of United States dollars)</w:t>
            </w:r>
          </w:p>
        </w:tc>
        <w:tc>
          <w:tcPr>
            <w:tcW w:w="38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157"/>
              <w:spacing w:after="0"/>
              <w:rPr>
                <w:sz w:val="20"/>
                <w:szCs w:val="20"/>
                <w:color w:val="auto"/>
              </w:rPr>
            </w:pPr>
            <w:r>
              <w:rPr>
                <w:rFonts w:ascii="Arial" w:cs="Arial" w:eastAsia="Arial" w:hAnsi="Arial"/>
                <w:sz w:val="13"/>
                <w:szCs w:val="13"/>
                <w:b w:val="1"/>
                <w:bCs w:val="1"/>
                <w:color w:val="auto"/>
              </w:rPr>
              <w:t>March 31,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177"/>
              <w:spacing w:after="0"/>
              <w:rPr>
                <w:sz w:val="20"/>
                <w:szCs w:val="20"/>
                <w:color w:val="auto"/>
              </w:rPr>
            </w:pPr>
            <w:r>
              <w:rPr>
                <w:rFonts w:ascii="Arial" w:cs="Arial" w:eastAsia="Arial" w:hAnsi="Arial"/>
                <w:sz w:val="13"/>
                <w:szCs w:val="13"/>
                <w:b w:val="1"/>
                <w:bCs w:val="1"/>
                <w:color w:val="auto"/>
              </w:rPr>
              <w:t>March 31, 2015</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6060" w:type="dxa"/>
            <w:vAlign w:val="bottom"/>
            <w:gridSpan w:val="2"/>
            <w:shd w:val="clear" w:color="auto" w:fill="CCEEFF"/>
          </w:tcPr>
          <w:p>
            <w:pPr>
              <w:ind w:left="20"/>
              <w:spacing w:after="0"/>
              <w:rPr>
                <w:sz w:val="20"/>
                <w:szCs w:val="20"/>
                <w:color w:val="auto"/>
              </w:rPr>
            </w:pPr>
            <w:r>
              <w:rPr>
                <w:rFonts w:ascii="Arial" w:cs="Arial" w:eastAsia="Arial" w:hAnsi="Arial"/>
                <w:sz w:val="17"/>
                <w:szCs w:val="17"/>
                <w:b w:val="1"/>
                <w:bCs w:val="1"/>
                <w:color w:val="auto"/>
              </w:rPr>
              <w:t>Net income for the period</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27,788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28,743</w:t>
            </w:r>
          </w:p>
        </w:tc>
        <w:tc>
          <w:tcPr>
            <w:tcW w:w="0" w:type="dxa"/>
            <w:vAlign w:val="bottom"/>
          </w:tcPr>
          <w:p>
            <w:pPr>
              <w:spacing w:after="0"/>
              <w:rPr>
                <w:sz w:val="1"/>
                <w:szCs w:val="1"/>
                <w:color w:val="auto"/>
              </w:rPr>
            </w:pPr>
          </w:p>
        </w:tc>
      </w:tr>
      <w:tr>
        <w:trPr>
          <w:trHeight w:val="210"/>
        </w:trPr>
        <w:tc>
          <w:tcPr>
            <w:tcW w:w="6060" w:type="dxa"/>
            <w:vAlign w:val="bottom"/>
            <w:gridSpan w:val="2"/>
          </w:tcPr>
          <w:p>
            <w:pPr>
              <w:ind w:left="180"/>
              <w:spacing w:after="0"/>
              <w:rPr>
                <w:sz w:val="20"/>
                <w:szCs w:val="20"/>
                <w:color w:val="auto"/>
              </w:rPr>
            </w:pPr>
            <w:r>
              <w:rPr>
                <w:rFonts w:ascii="Arial" w:cs="Arial" w:eastAsia="Arial" w:hAnsi="Arial"/>
                <w:sz w:val="17"/>
                <w:szCs w:val="17"/>
                <w:color w:val="auto"/>
              </w:rPr>
              <w:t>Impairment loss on available-for-sale securities</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8"/>
                <w:szCs w:val="18"/>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685</w:t>
            </w:r>
          </w:p>
        </w:tc>
        <w:tc>
          <w:tcPr>
            <w:tcW w:w="0" w:type="dxa"/>
            <w:vAlign w:val="bottom"/>
          </w:tcPr>
          <w:p>
            <w:pPr>
              <w:spacing w:after="0"/>
              <w:rPr>
                <w:sz w:val="1"/>
                <w:szCs w:val="1"/>
                <w:color w:val="auto"/>
              </w:rPr>
            </w:pPr>
          </w:p>
        </w:tc>
      </w:tr>
      <w:tr>
        <w:trPr>
          <w:trHeight w:val="210"/>
        </w:trPr>
        <w:tc>
          <w:tcPr>
            <w:tcW w:w="60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Gain on sale of available-for-sale securities</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(119)</w:t>
            </w: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(21,049)</w:t>
            </w:r>
          </w:p>
        </w:tc>
        <w:tc>
          <w:tcPr>
            <w:tcW w:w="0" w:type="dxa"/>
            <w:vAlign w:val="bottom"/>
          </w:tcPr>
          <w:p>
            <w:pPr>
              <w:spacing w:after="0"/>
              <w:rPr>
                <w:sz w:val="1"/>
                <w:szCs w:val="1"/>
                <w:color w:val="auto"/>
              </w:rPr>
            </w:pPr>
          </w:p>
        </w:tc>
      </w:tr>
      <w:tr>
        <w:trPr>
          <w:trHeight w:val="210"/>
        </w:trPr>
        <w:tc>
          <w:tcPr>
            <w:tcW w:w="6060" w:type="dxa"/>
            <w:vAlign w:val="bottom"/>
            <w:gridSpan w:val="2"/>
          </w:tcPr>
          <w:p>
            <w:pPr>
              <w:ind w:left="180"/>
              <w:spacing w:after="0"/>
              <w:rPr>
                <w:sz w:val="20"/>
                <w:szCs w:val="20"/>
                <w:color w:val="auto"/>
              </w:rPr>
            </w:pPr>
            <w:r>
              <w:rPr>
                <w:rFonts w:ascii="Arial" w:cs="Arial" w:eastAsia="Arial" w:hAnsi="Arial"/>
                <w:sz w:val="17"/>
                <w:szCs w:val="17"/>
                <w:color w:val="auto"/>
              </w:rPr>
              <w:t>Foreign currency translation loss (gain)</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6,770</w:t>
            </w:r>
          </w:p>
        </w:tc>
        <w:tc>
          <w:tcPr>
            <w:tcW w:w="100" w:type="dxa"/>
            <w:vAlign w:val="bottom"/>
          </w:tcPr>
          <w:p>
            <w:pPr>
              <w:spacing w:after="0"/>
              <w:rPr>
                <w:sz w:val="18"/>
                <w:szCs w:val="18"/>
                <w:color w:val="auto"/>
              </w:rPr>
            </w:pPr>
          </w:p>
        </w:tc>
        <w:tc>
          <w:tcPr>
            <w:tcW w:w="1420" w:type="dxa"/>
            <w:vAlign w:val="bottom"/>
            <w:gridSpan w:val="2"/>
          </w:tcPr>
          <w:p>
            <w:pPr>
              <w:jc w:val="right"/>
              <w:ind w:right="80"/>
              <w:spacing w:after="0"/>
              <w:rPr>
                <w:sz w:val="20"/>
                <w:szCs w:val="20"/>
                <w:color w:val="auto"/>
              </w:rPr>
            </w:pPr>
            <w:r>
              <w:rPr>
                <w:rFonts w:ascii="Arial" w:cs="Arial" w:eastAsia="Arial" w:hAnsi="Arial"/>
                <w:sz w:val="17"/>
                <w:szCs w:val="17"/>
                <w:color w:val="auto"/>
              </w:rPr>
              <w:t>(11,690)</w:t>
            </w:r>
          </w:p>
        </w:tc>
        <w:tc>
          <w:tcPr>
            <w:tcW w:w="0" w:type="dxa"/>
            <w:vAlign w:val="bottom"/>
          </w:tcPr>
          <w:p>
            <w:pPr>
              <w:spacing w:after="0"/>
              <w:rPr>
                <w:sz w:val="1"/>
                <w:szCs w:val="1"/>
                <w:color w:val="auto"/>
              </w:rPr>
            </w:pPr>
          </w:p>
        </w:tc>
      </w:tr>
      <w:tr>
        <w:trPr>
          <w:trHeight w:val="210"/>
        </w:trPr>
        <w:tc>
          <w:tcPr>
            <w:tcW w:w="60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Stock options expense</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5,931</w:t>
            </w: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7,791</w:t>
            </w:r>
          </w:p>
        </w:tc>
        <w:tc>
          <w:tcPr>
            <w:tcW w:w="0" w:type="dxa"/>
            <w:vAlign w:val="bottom"/>
          </w:tcPr>
          <w:p>
            <w:pPr>
              <w:spacing w:after="0"/>
              <w:rPr>
                <w:sz w:val="1"/>
                <w:szCs w:val="1"/>
                <w:color w:val="auto"/>
              </w:rPr>
            </w:pPr>
          </w:p>
        </w:tc>
      </w:tr>
      <w:tr>
        <w:trPr>
          <w:trHeight w:val="210"/>
        </w:trPr>
        <w:tc>
          <w:tcPr>
            <w:tcW w:w="6060" w:type="dxa"/>
            <w:vAlign w:val="bottom"/>
            <w:gridSpan w:val="2"/>
          </w:tcPr>
          <w:p>
            <w:pPr>
              <w:ind w:left="180"/>
              <w:spacing w:after="0"/>
              <w:rPr>
                <w:sz w:val="20"/>
                <w:szCs w:val="20"/>
                <w:color w:val="auto"/>
              </w:rPr>
            </w:pPr>
            <w:r>
              <w:rPr>
                <w:rFonts w:ascii="Arial" w:cs="Arial" w:eastAsia="Arial" w:hAnsi="Arial"/>
                <w:sz w:val="17"/>
                <w:szCs w:val="17"/>
                <w:color w:val="auto"/>
              </w:rPr>
              <w:t>Mark-to-market (gain) loss on warrants</w:t>
            </w:r>
          </w:p>
        </w:tc>
        <w:tc>
          <w:tcPr>
            <w:tcW w:w="10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Arial" w:cs="Arial" w:eastAsia="Arial" w:hAnsi="Arial"/>
                <w:sz w:val="17"/>
                <w:szCs w:val="17"/>
                <w:color w:val="auto"/>
              </w:rPr>
              <w:t>(608)</w:t>
            </w:r>
          </w:p>
        </w:tc>
        <w:tc>
          <w:tcPr>
            <w:tcW w:w="100" w:type="dxa"/>
            <w:vAlign w:val="bottom"/>
          </w:tcPr>
          <w:p>
            <w:pPr>
              <w:spacing w:after="0"/>
              <w:rPr>
                <w:sz w:val="18"/>
                <w:szCs w:val="18"/>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2,559</w:t>
            </w:r>
          </w:p>
        </w:tc>
        <w:tc>
          <w:tcPr>
            <w:tcW w:w="0" w:type="dxa"/>
            <w:vAlign w:val="bottom"/>
          </w:tcPr>
          <w:p>
            <w:pPr>
              <w:spacing w:after="0"/>
              <w:rPr>
                <w:sz w:val="1"/>
                <w:szCs w:val="1"/>
                <w:color w:val="auto"/>
              </w:rPr>
            </w:pPr>
          </w:p>
        </w:tc>
      </w:tr>
      <w:tr>
        <w:trPr>
          <w:trHeight w:val="210"/>
        </w:trPr>
        <w:tc>
          <w:tcPr>
            <w:tcW w:w="60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Gain on settlements of warrants</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(9,664)</w:t>
            </w:r>
          </w:p>
        </w:tc>
        <w:tc>
          <w:tcPr>
            <w:tcW w:w="0" w:type="dxa"/>
            <w:vAlign w:val="bottom"/>
          </w:tcPr>
          <w:p>
            <w:pPr>
              <w:spacing w:after="0"/>
              <w:rPr>
                <w:sz w:val="1"/>
                <w:szCs w:val="1"/>
                <w:color w:val="auto"/>
              </w:rPr>
            </w:pPr>
          </w:p>
        </w:tc>
      </w:tr>
      <w:tr>
        <w:trPr>
          <w:trHeight w:val="210"/>
        </w:trPr>
        <w:tc>
          <w:tcPr>
            <w:tcW w:w="6060" w:type="dxa"/>
            <w:vAlign w:val="bottom"/>
            <w:gridSpan w:val="2"/>
          </w:tcPr>
          <w:p>
            <w:pPr>
              <w:ind w:left="180"/>
              <w:spacing w:after="0"/>
              <w:rPr>
                <w:sz w:val="20"/>
                <w:szCs w:val="20"/>
                <w:color w:val="auto"/>
              </w:rPr>
            </w:pPr>
            <w:r>
              <w:rPr>
                <w:rFonts w:ascii="Arial" w:cs="Arial" w:eastAsia="Arial" w:hAnsi="Arial"/>
                <w:sz w:val="17"/>
                <w:szCs w:val="17"/>
                <w:color w:val="auto"/>
              </w:rPr>
              <w:t>Mark-to-market loss on CMGP Convertible Debentures</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8"/>
                <w:szCs w:val="18"/>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4,447</w:t>
            </w:r>
          </w:p>
        </w:tc>
        <w:tc>
          <w:tcPr>
            <w:tcW w:w="0" w:type="dxa"/>
            <w:vAlign w:val="bottom"/>
          </w:tcPr>
          <w:p>
            <w:pPr>
              <w:spacing w:after="0"/>
              <w:rPr>
                <w:sz w:val="1"/>
                <w:szCs w:val="1"/>
                <w:color w:val="auto"/>
              </w:rPr>
            </w:pPr>
          </w:p>
        </w:tc>
      </w:tr>
      <w:tr>
        <w:trPr>
          <w:trHeight w:val="210"/>
        </w:trPr>
        <w:tc>
          <w:tcPr>
            <w:tcW w:w="60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Income and mining taxes adjustments</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(11,192)</w:t>
            </w: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15,221</w:t>
            </w:r>
          </w:p>
        </w:tc>
        <w:tc>
          <w:tcPr>
            <w:tcW w:w="0" w:type="dxa"/>
            <w:vAlign w:val="bottom"/>
          </w:tcPr>
          <w:p>
            <w:pPr>
              <w:spacing w:after="0"/>
              <w:rPr>
                <w:sz w:val="1"/>
                <w:szCs w:val="1"/>
                <w:color w:val="auto"/>
              </w:rPr>
            </w:pPr>
          </w:p>
        </w:tc>
      </w:tr>
      <w:tr>
        <w:trPr>
          <w:trHeight w:val="216"/>
        </w:trPr>
        <w:tc>
          <w:tcPr>
            <w:tcW w:w="6060" w:type="dxa"/>
            <w:vAlign w:val="bottom"/>
            <w:gridSpan w:val="2"/>
          </w:tcPr>
          <w:p>
            <w:pPr>
              <w:ind w:left="180"/>
              <w:spacing w:after="0"/>
              <w:rPr>
                <w:sz w:val="20"/>
                <w:szCs w:val="20"/>
                <w:color w:val="auto"/>
              </w:rPr>
            </w:pPr>
            <w:r>
              <w:rPr>
                <w:rFonts w:ascii="Arial" w:cs="Arial" w:eastAsia="Arial" w:hAnsi="Arial"/>
                <w:sz w:val="17"/>
                <w:szCs w:val="17"/>
                <w:color w:val="auto"/>
              </w:rPr>
              <w:t>Other</w:t>
            </w:r>
          </w:p>
        </w:tc>
        <w:tc>
          <w:tcPr>
            <w:tcW w:w="10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Arial" w:cs="Arial" w:eastAsia="Arial" w:hAnsi="Arial"/>
                <w:sz w:val="17"/>
                <w:szCs w:val="17"/>
                <w:color w:val="auto"/>
              </w:rPr>
              <w:t>(2,853)</w:t>
            </w:r>
          </w:p>
        </w:tc>
        <w:tc>
          <w:tcPr>
            <w:tcW w:w="100" w:type="dxa"/>
            <w:vAlign w:val="bottom"/>
          </w:tcPr>
          <w:p>
            <w:pPr>
              <w:spacing w:after="0"/>
              <w:rPr>
                <w:sz w:val="18"/>
                <w:szCs w:val="18"/>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14,367</w:t>
            </w:r>
          </w:p>
        </w:tc>
        <w:tc>
          <w:tcPr>
            <w:tcW w:w="0" w:type="dxa"/>
            <w:vAlign w:val="bottom"/>
          </w:tcPr>
          <w:p>
            <w:pPr>
              <w:spacing w:after="0"/>
              <w:rPr>
                <w:sz w:val="1"/>
                <w:szCs w:val="1"/>
                <w:color w:val="auto"/>
              </w:rPr>
            </w:pPr>
          </w:p>
        </w:tc>
      </w:tr>
      <w:tr>
        <w:trPr>
          <w:trHeight w:val="20"/>
        </w:trPr>
        <w:tc>
          <w:tcPr>
            <w:tcW w:w="2200" w:type="dxa"/>
            <w:vAlign w:val="bottom"/>
          </w:tcPr>
          <w:p>
            <w:pPr>
              <w:spacing w:after="0" w:line="20" w:lineRule="exact"/>
              <w:rPr>
                <w:sz w:val="1"/>
                <w:szCs w:val="1"/>
                <w:color w:val="auto"/>
              </w:rPr>
            </w:pPr>
          </w:p>
        </w:tc>
        <w:tc>
          <w:tcPr>
            <w:tcW w:w="38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6060" w:type="dxa"/>
            <w:vAlign w:val="bottom"/>
            <w:gridSpan w:val="2"/>
            <w:shd w:val="clear" w:color="auto" w:fill="CCEEFF"/>
          </w:tcPr>
          <w:p>
            <w:pPr>
              <w:ind w:left="20"/>
              <w:spacing w:after="0"/>
              <w:rPr>
                <w:sz w:val="20"/>
                <w:szCs w:val="20"/>
                <w:color w:val="auto"/>
              </w:rPr>
            </w:pPr>
            <w:r>
              <w:rPr>
                <w:rFonts w:ascii="Arial" w:cs="Arial" w:eastAsia="Arial" w:hAnsi="Arial"/>
                <w:sz w:val="17"/>
                <w:szCs w:val="17"/>
                <w:b w:val="1"/>
                <w:bCs w:val="1"/>
                <w:color w:val="auto"/>
              </w:rPr>
              <w:t>Adjusted net income for the period</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25,717</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31,410</w:t>
            </w:r>
          </w:p>
        </w:tc>
        <w:tc>
          <w:tcPr>
            <w:tcW w:w="0" w:type="dxa"/>
            <w:vAlign w:val="bottom"/>
          </w:tcPr>
          <w:p>
            <w:pPr>
              <w:spacing w:after="0"/>
              <w:rPr>
                <w:sz w:val="1"/>
                <w:szCs w:val="1"/>
                <w:color w:val="auto"/>
              </w:rPr>
            </w:pPr>
          </w:p>
        </w:tc>
      </w:tr>
      <w:tr>
        <w:trPr>
          <w:trHeight w:val="26"/>
        </w:trPr>
        <w:tc>
          <w:tcPr>
            <w:tcW w:w="6060" w:type="dxa"/>
            <w:vAlign w:val="bottom"/>
            <w:gridSpan w:val="2"/>
            <w:vMerge w:val="restart"/>
          </w:tcPr>
          <w:p>
            <w:pPr>
              <w:ind w:left="20"/>
              <w:spacing w:after="0"/>
              <w:rPr>
                <w:sz w:val="20"/>
                <w:szCs w:val="20"/>
                <w:color w:val="auto"/>
              </w:rPr>
            </w:pPr>
            <w:r>
              <w:rPr>
                <w:rFonts w:ascii="Arial" w:cs="Arial" w:eastAsia="Arial" w:hAnsi="Arial"/>
                <w:sz w:val="17"/>
                <w:szCs w:val="17"/>
                <w:color w:val="auto"/>
              </w:rPr>
              <w:t>Net income per share — basic</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060" w:type="dxa"/>
            <w:vAlign w:val="bottom"/>
            <w:gridSpan w:val="2"/>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9"/>
        </w:trPr>
        <w:tc>
          <w:tcPr>
            <w:tcW w:w="6060" w:type="dxa"/>
            <w:vAlign w:val="bottom"/>
            <w:gridSpan w:val="2"/>
            <w:vMerge w:val="continue"/>
          </w:tcPr>
          <w:p>
            <w:pPr>
              <w:spacing w:after="0"/>
              <w:rPr>
                <w:sz w:val="16"/>
                <w:szCs w:val="16"/>
                <w:color w:val="auto"/>
              </w:rPr>
            </w:pPr>
          </w:p>
        </w:tc>
        <w:tc>
          <w:tcPr>
            <w:tcW w:w="100" w:type="dxa"/>
            <w:vAlign w:val="bottom"/>
            <w:tcBorders>
              <w:top w:val="single" w:sz="8" w:color="auto"/>
            </w:tcBorders>
          </w:tcPr>
          <w:p>
            <w:pPr>
              <w:jc w:val="right"/>
              <w:spacing w:after="0" w:line="189" w:lineRule="exact"/>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line="189" w:lineRule="exact"/>
              <w:rPr>
                <w:sz w:val="20"/>
                <w:szCs w:val="20"/>
                <w:color w:val="auto"/>
              </w:rPr>
            </w:pPr>
            <w:r>
              <w:rPr>
                <w:rFonts w:ascii="Arial" w:cs="Arial" w:eastAsia="Arial" w:hAnsi="Arial"/>
                <w:sz w:val="17"/>
                <w:szCs w:val="17"/>
                <w:color w:val="auto"/>
              </w:rPr>
              <w:t>0.13</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line="189" w:lineRule="exact"/>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line="189" w:lineRule="exact"/>
              <w:rPr>
                <w:sz w:val="20"/>
                <w:szCs w:val="20"/>
                <w:color w:val="auto"/>
              </w:rPr>
            </w:pPr>
            <w:r>
              <w:rPr>
                <w:rFonts w:ascii="Arial" w:cs="Arial" w:eastAsia="Arial" w:hAnsi="Arial"/>
                <w:sz w:val="17"/>
                <w:szCs w:val="17"/>
                <w:color w:val="auto"/>
              </w:rPr>
              <w:t>0.13</w:t>
            </w: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60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Net income per share — diluted</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0.13</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0.13</w:t>
            </w:r>
          </w:p>
        </w:tc>
        <w:tc>
          <w:tcPr>
            <w:tcW w:w="0" w:type="dxa"/>
            <w:vAlign w:val="bottom"/>
          </w:tcPr>
          <w:p>
            <w:pPr>
              <w:spacing w:after="0"/>
              <w:rPr>
                <w:sz w:val="1"/>
                <w:szCs w:val="1"/>
                <w:color w:val="auto"/>
              </w:rPr>
            </w:pPr>
          </w:p>
        </w:tc>
      </w:tr>
      <w:tr>
        <w:trPr>
          <w:trHeight w:val="210"/>
        </w:trPr>
        <w:tc>
          <w:tcPr>
            <w:tcW w:w="6060" w:type="dxa"/>
            <w:vAlign w:val="bottom"/>
            <w:gridSpan w:val="2"/>
          </w:tcPr>
          <w:p>
            <w:pPr>
              <w:ind w:left="20"/>
              <w:spacing w:after="0"/>
              <w:rPr>
                <w:sz w:val="20"/>
                <w:szCs w:val="20"/>
                <w:color w:val="auto"/>
              </w:rPr>
            </w:pPr>
            <w:r>
              <w:rPr>
                <w:rFonts w:ascii="Arial" w:cs="Arial" w:eastAsia="Arial" w:hAnsi="Arial"/>
                <w:sz w:val="17"/>
                <w:szCs w:val="17"/>
                <w:color w:val="auto"/>
              </w:rPr>
              <w:t>Adjusted net income per share — basic</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0.12</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0.15</w:t>
            </w:r>
          </w:p>
        </w:tc>
        <w:tc>
          <w:tcPr>
            <w:tcW w:w="0" w:type="dxa"/>
            <w:vAlign w:val="bottom"/>
          </w:tcPr>
          <w:p>
            <w:pPr>
              <w:spacing w:after="0"/>
              <w:rPr>
                <w:sz w:val="1"/>
                <w:szCs w:val="1"/>
                <w:color w:val="auto"/>
              </w:rPr>
            </w:pPr>
          </w:p>
        </w:tc>
      </w:tr>
      <w:tr>
        <w:trPr>
          <w:trHeight w:val="210"/>
        </w:trPr>
        <w:tc>
          <w:tcPr>
            <w:tcW w:w="60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Adjusted net income per share — diluted</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0.12</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0.15</w:t>
            </w:r>
          </w:p>
        </w:tc>
        <w:tc>
          <w:tcPr>
            <w:tcW w:w="0" w:type="dxa"/>
            <w:vAlign w:val="bottom"/>
          </w:tcPr>
          <w:p>
            <w:pPr>
              <w:spacing w:after="0"/>
              <w:rPr>
                <w:sz w:val="1"/>
                <w:szCs w:val="1"/>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Total Cash Costs per Ounce of Gold Produced and Minesite Costs per Tonne</w:t>
      </w:r>
    </w:p>
    <w:p>
      <w:pPr>
        <w:spacing w:after="0" w:line="224" w:lineRule="exact"/>
        <w:rPr>
          <w:sz w:val="20"/>
          <w:szCs w:val="20"/>
          <w:color w:val="auto"/>
        </w:rPr>
      </w:pPr>
    </w:p>
    <w:p>
      <w:pPr>
        <w:jc w:val="both"/>
        <w:ind w:firstLine="500"/>
        <w:spacing w:after="0" w:line="265" w:lineRule="auto"/>
        <w:rPr>
          <w:sz w:val="20"/>
          <w:szCs w:val="20"/>
          <w:color w:val="auto"/>
        </w:rPr>
      </w:pPr>
      <w:r>
        <w:rPr>
          <w:rFonts w:ascii="Arial" w:cs="Arial" w:eastAsia="Arial" w:hAnsi="Arial"/>
          <w:sz w:val="17"/>
          <w:szCs w:val="17"/>
          <w:color w:val="auto"/>
        </w:rPr>
        <w:t>The Company believes that total cash costs per ounce of gold produced and minesite costs per tonne are realistic indicators of operating performance and facilitate period over period comparisons. However, both of these non-GAAP generally accepted industry measures should be considered together with other data prepared in accordance with IFRS. These measures, taken by themselves, are not necessarily indicative of operating costs or cash flow measures prepared in accordance with IFRS.</w:t>
      </w:r>
    </w:p>
    <w:p>
      <w:pPr>
        <w:spacing w:after="0" w:line="185" w:lineRule="exact"/>
        <w:rPr>
          <w:sz w:val="20"/>
          <w:szCs w:val="20"/>
          <w:color w:val="auto"/>
        </w:rPr>
      </w:pPr>
    </w:p>
    <w:p>
      <w:pPr>
        <w:jc w:val="both"/>
        <w:ind w:firstLine="382"/>
        <w:spacing w:after="0" w:line="260" w:lineRule="auto"/>
        <w:rPr>
          <w:sz w:val="20"/>
          <w:szCs w:val="20"/>
          <w:color w:val="auto"/>
        </w:rPr>
      </w:pPr>
      <w:r>
        <w:rPr>
          <w:rFonts w:ascii="Arial" w:cs="Arial" w:eastAsia="Arial" w:hAnsi="Arial"/>
          <w:sz w:val="17"/>
          <w:szCs w:val="17"/>
          <w:color w:val="auto"/>
        </w:rPr>
        <w:t>Total cash costs per ounce of gold produced is reported on both a by-product basis (deducting by-product metal revenues from production costs) and co-product basis (before by-product metal revenues). Total cash costs per ounce of gold produced on a by-product basis is calculated by adjusting production costs as recorded in the condensed interim consolidated statements of income and comprehensive income for by-product revenues, unsold concentrate inventory production costs, smelting, refining and marketing charges and other adjustments, and then dividing by the number of ounces of gold produced. Total cash costs per ounce of gold produced on a co-product basis is calculated in the same manner as total cash costs per ounce of gold produced on a by-product basis except that no adjustment for by-product metal revenues is made. Accordingly, the calculation of total cash costs per ounce of gold produced on a co-product basis does not reflect a reduction in production costs or smelting, refining and marketing charges associated with the production and sale of by-product metals. Total cash costs per ounce of gold produced is intended to provide information about the cash generating capabilities of the Company's mining operations. Management also uses these measures to monitor the performance of the</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5" w:name="page16"/>
    <w:bookmarkEnd w:id="15"/>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Months Ended March 31, 2016</w:t>
      </w:r>
    </w:p>
    <w:p>
      <w:pPr>
        <w:spacing w:after="0" w:line="218" w:lineRule="exact"/>
        <w:rPr>
          <w:sz w:val="20"/>
          <w:szCs w:val="20"/>
          <w:color w:val="auto"/>
        </w:rPr>
      </w:pPr>
    </w:p>
    <w:p>
      <w:pPr>
        <w:jc w:val="both"/>
        <w:spacing w:after="0" w:line="306" w:lineRule="auto"/>
        <w:rPr>
          <w:sz w:val="20"/>
          <w:szCs w:val="20"/>
          <w:color w:val="auto"/>
        </w:rPr>
      </w:pPr>
      <w:r>
        <w:rPr>
          <w:rFonts w:ascii="Arial" w:cs="Arial" w:eastAsia="Arial" w:hAnsi="Arial"/>
          <w:sz w:val="15"/>
          <w:szCs w:val="15"/>
          <w:color w:val="auto"/>
        </w:rPr>
        <w:t>Company's mining operations. As market prices for gold are quoted on a per ounce basis, using the total cash cost per ounce of gold produced on a by-product basis measure allows management to assess a mine's cash generating capabilities at various gold prices. Management is aware that these per ounce measures of performance can be affected by fluctuations in exchange rates and, in the case of total cash costs per ounce of gold produced on a by-product basis, by-product metal prices. Management compensates for these inherent limitations by using these measures in conjunction with minesite costs per tonne (discussed below) as well as other data prepared in accordance with IFRS. Management also performs sensitivity analyses in order to quantify the effects of fluctuating metal prices and exchange rates.</w:t>
      </w:r>
    </w:p>
    <w:p>
      <w:pPr>
        <w:spacing w:after="0" w:line="159" w:lineRule="exact"/>
        <w:rPr>
          <w:sz w:val="20"/>
          <w:szCs w:val="20"/>
          <w:color w:val="auto"/>
        </w:rPr>
      </w:pPr>
    </w:p>
    <w:p>
      <w:pPr>
        <w:jc w:val="both"/>
        <w:ind w:firstLine="332"/>
        <w:spacing w:after="0" w:line="315" w:lineRule="auto"/>
        <w:rPr>
          <w:sz w:val="20"/>
          <w:szCs w:val="20"/>
          <w:color w:val="auto"/>
        </w:rPr>
      </w:pPr>
      <w:r>
        <w:rPr>
          <w:rFonts w:ascii="Arial" w:cs="Arial" w:eastAsia="Arial" w:hAnsi="Arial"/>
          <w:sz w:val="16"/>
          <w:szCs w:val="16"/>
          <w:color w:val="auto"/>
        </w:rPr>
        <w:t>Agnico Eagle's primary business is gold production and the focus of its current operations and future development is on maximizing returns from gold production, with other metal production being incidental to the gold production process. Accordingly, all metals other than gold are considered by-products.</w:t>
      </w:r>
    </w:p>
    <w:p>
      <w:pPr>
        <w:spacing w:after="0" w:line="146" w:lineRule="exact"/>
        <w:rPr>
          <w:sz w:val="20"/>
          <w:szCs w:val="20"/>
          <w:color w:val="auto"/>
        </w:rPr>
      </w:pPr>
    </w:p>
    <w:p>
      <w:pPr>
        <w:jc w:val="both"/>
        <w:ind w:firstLine="449"/>
        <w:spacing w:after="0" w:line="294" w:lineRule="auto"/>
        <w:rPr>
          <w:sz w:val="20"/>
          <w:szCs w:val="20"/>
          <w:color w:val="auto"/>
        </w:rPr>
      </w:pPr>
      <w:r>
        <w:rPr>
          <w:rFonts w:ascii="Arial" w:cs="Arial" w:eastAsia="Arial" w:hAnsi="Arial"/>
          <w:sz w:val="16"/>
          <w:szCs w:val="16"/>
          <w:color w:val="auto"/>
        </w:rPr>
        <w:t>Total cash costs per ounce of gold produced is reported on a by-product basis because (i) the majority of the Company's revenues are gold revenues, (ii) the Company mines ore, which contains gold, silver, zinc, copper and other metals, (iii) it is not possible to specifically assign all costs to revenues from the gold, silver, zinc, copper and other metals the Company produces, and (iv) it is a method used by management and the Board to monitor operations.</w:t>
      </w:r>
    </w:p>
    <w:p>
      <w:pPr>
        <w:spacing w:after="0" w:line="163" w:lineRule="exact"/>
        <w:rPr>
          <w:sz w:val="20"/>
          <w:szCs w:val="20"/>
          <w:color w:val="auto"/>
        </w:rPr>
      </w:pPr>
    </w:p>
    <w:p>
      <w:pPr>
        <w:jc w:val="both"/>
        <w:ind w:firstLine="431"/>
        <w:spacing w:after="0" w:line="261" w:lineRule="auto"/>
        <w:rPr>
          <w:sz w:val="20"/>
          <w:szCs w:val="20"/>
          <w:color w:val="auto"/>
        </w:rPr>
      </w:pPr>
      <w:r>
        <w:rPr>
          <w:rFonts w:ascii="Arial" w:cs="Arial" w:eastAsia="Arial" w:hAnsi="Arial"/>
          <w:sz w:val="17"/>
          <w:szCs w:val="17"/>
          <w:color w:val="auto"/>
        </w:rPr>
        <w:t>Minesite costs per tonne is calculated by adjusting production costs as shown in the condensed interim consolidated statements of income and comprehensive income for unsold concentrate inventory production costs and other adjustments and then dividing by tonnes of ore processed. As the total cash costs per ounce of gold produced measure can be impacted by fluctuations in by-product metal prices and exchange rates, management believes that the minesite costs per tonne measure provides additional information regarding the performance of mining operations. Management also uses minesite costs per tonne to determine the economic viability of mining blocks. As each mining block is evaluated based on the net realizable value of each tonne mined, in order to be economically viable the estimated revenue on a per tonne basis must be in excess of the minesite costs per tonne. Management is aware that this per tonne measure of performance can be impacted by fluctuations in production levels and compensates for this inherent limitation by using this measure in conjunction with production costs prepared in accordance with IFRS.</w:t>
      </w:r>
    </w:p>
    <w:p>
      <w:pPr>
        <w:spacing w:after="0" w:line="187" w:lineRule="exact"/>
        <w:rPr>
          <w:sz w:val="20"/>
          <w:szCs w:val="20"/>
          <w:color w:val="auto"/>
        </w:rPr>
      </w:pPr>
    </w:p>
    <w:p>
      <w:pPr>
        <w:jc w:val="both"/>
        <w:ind w:firstLine="381"/>
        <w:spacing w:after="0" w:line="270" w:lineRule="auto"/>
        <w:rPr>
          <w:sz w:val="20"/>
          <w:szCs w:val="20"/>
          <w:color w:val="auto"/>
        </w:rPr>
      </w:pPr>
      <w:r>
        <w:rPr>
          <w:rFonts w:ascii="Arial" w:cs="Arial" w:eastAsia="Arial" w:hAnsi="Arial"/>
          <w:sz w:val="17"/>
          <w:szCs w:val="17"/>
          <w:color w:val="auto"/>
        </w:rPr>
        <w:t>The following tables set out a reconciliation of total cash costs per ounce of gold produced (on both a by-product basis and co-product basis) and minesite costs per tonne to production costs, exclusive of amortization, as presented in the condensed interim consolidated statements of income and comprehensive income in accordance with IFRS.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Total Production Costs by Mine</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2"/>
                <w:szCs w:val="12"/>
                <w:color w:val="auto"/>
              </w:rPr>
            </w:pPr>
          </w:p>
        </w:tc>
        <w:tc>
          <w:tcPr>
            <w:tcW w:w="2200" w:type="dxa"/>
            <w:vAlign w:val="bottom"/>
          </w:tcPr>
          <w:p>
            <w:pPr>
              <w:spacing w:after="0"/>
              <w:rPr>
                <w:sz w:val="12"/>
                <w:szCs w:val="12"/>
                <w:color w:val="auto"/>
              </w:rPr>
            </w:pPr>
          </w:p>
        </w:tc>
        <w:tc>
          <w:tcPr>
            <w:tcW w:w="3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4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12"/>
                <w:szCs w:val="12"/>
                <w:color w:val="auto"/>
              </w:rPr>
            </w:pPr>
          </w:p>
        </w:tc>
        <w:tc>
          <w:tcPr>
            <w:tcW w:w="2580" w:type="dxa"/>
            <w:vAlign w:val="bottom"/>
            <w:gridSpan w:val="3"/>
          </w:tcPr>
          <w:p>
            <w:pPr>
              <w:spacing w:after="0"/>
              <w:rPr>
                <w:sz w:val="20"/>
                <w:szCs w:val="20"/>
                <w:color w:val="auto"/>
              </w:rPr>
            </w:pPr>
            <w:r>
              <w:rPr>
                <w:rFonts w:ascii="Arial" w:cs="Arial" w:eastAsia="Arial" w:hAnsi="Arial"/>
                <w:sz w:val="13"/>
                <w:szCs w:val="13"/>
                <w:b w:val="1"/>
                <w:bCs w:val="1"/>
                <w:color w:val="auto"/>
              </w:rPr>
              <w:t>Three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2200" w:type="dxa"/>
            <w:vAlign w:val="bottom"/>
            <w:tcBorders>
              <w:bottom w:val="single" w:sz="8" w:color="auto"/>
            </w:tcBorders>
          </w:tcPr>
          <w:p>
            <w:pPr>
              <w:ind w:left="20"/>
              <w:spacing w:after="0"/>
              <w:rPr>
                <w:sz w:val="20"/>
                <w:szCs w:val="20"/>
                <w:color w:val="auto"/>
              </w:rPr>
            </w:pPr>
            <w:r>
              <w:rPr>
                <w:rFonts w:ascii="Arial" w:cs="Arial" w:eastAsia="Arial" w:hAnsi="Arial"/>
                <w:sz w:val="13"/>
                <w:szCs w:val="13"/>
                <w:b w:val="1"/>
                <w:bCs w:val="1"/>
                <w:color w:val="auto"/>
                <w:w w:val="96"/>
              </w:rPr>
              <w:t>(thousands of United States dollars)</w:t>
            </w:r>
          </w:p>
        </w:tc>
        <w:tc>
          <w:tcPr>
            <w:tcW w:w="38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5"/>
              </w:rPr>
              <w:t>March 31,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178"/>
              <w:spacing w:after="0"/>
              <w:rPr>
                <w:sz w:val="20"/>
                <w:szCs w:val="20"/>
                <w:color w:val="auto"/>
              </w:rPr>
            </w:pPr>
            <w:r>
              <w:rPr>
                <w:rFonts w:ascii="Arial" w:cs="Arial" w:eastAsia="Arial" w:hAnsi="Arial"/>
                <w:sz w:val="13"/>
                <w:szCs w:val="13"/>
                <w:b w:val="1"/>
                <w:bCs w:val="1"/>
                <w:color w:val="auto"/>
              </w:rPr>
              <w:t>March 31, 2015</w:t>
            </w:r>
          </w:p>
        </w:tc>
        <w:tc>
          <w:tcPr>
            <w:tcW w:w="130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60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LaRonde mine</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45,854</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45,865</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6060" w:type="dxa"/>
            <w:vAlign w:val="bottom"/>
            <w:gridSpan w:val="2"/>
          </w:tcPr>
          <w:p>
            <w:pPr>
              <w:ind w:left="20"/>
              <w:spacing w:after="0"/>
              <w:rPr>
                <w:sz w:val="20"/>
                <w:szCs w:val="20"/>
                <w:color w:val="auto"/>
              </w:rPr>
            </w:pPr>
            <w:r>
              <w:rPr>
                <w:rFonts w:ascii="Arial" w:cs="Arial" w:eastAsia="Arial" w:hAnsi="Arial"/>
                <w:sz w:val="17"/>
                <w:szCs w:val="17"/>
                <w:color w:val="auto"/>
              </w:rPr>
              <w:t>Lapa mine</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12,784</w:t>
            </w:r>
          </w:p>
        </w:tc>
        <w:tc>
          <w:tcPr>
            <w:tcW w:w="100" w:type="dxa"/>
            <w:vAlign w:val="bottom"/>
          </w:tcPr>
          <w:p>
            <w:pPr>
              <w:spacing w:after="0"/>
              <w:rPr>
                <w:sz w:val="18"/>
                <w:szCs w:val="18"/>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13,985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60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Goldex mine</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15,732</w:t>
            </w: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14,866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6060" w:type="dxa"/>
            <w:vAlign w:val="bottom"/>
            <w:gridSpan w:val="2"/>
          </w:tcPr>
          <w:p>
            <w:pPr>
              <w:ind w:left="20"/>
              <w:spacing w:after="0"/>
              <w:rPr>
                <w:sz w:val="20"/>
                <w:szCs w:val="20"/>
                <w:color w:val="auto"/>
              </w:rPr>
            </w:pPr>
            <w:r>
              <w:rPr>
                <w:rFonts w:ascii="Arial" w:cs="Arial" w:eastAsia="Arial" w:hAnsi="Arial"/>
                <w:sz w:val="17"/>
                <w:szCs w:val="17"/>
                <w:color w:val="auto"/>
              </w:rPr>
              <w:t>Meadowbank mine</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52,210</w:t>
            </w:r>
          </w:p>
        </w:tc>
        <w:tc>
          <w:tcPr>
            <w:tcW w:w="100" w:type="dxa"/>
            <w:vAlign w:val="bottom"/>
          </w:tcPr>
          <w:p>
            <w:pPr>
              <w:spacing w:after="0"/>
              <w:rPr>
                <w:sz w:val="18"/>
                <w:szCs w:val="18"/>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57,096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6060" w:type="dxa"/>
            <w:vAlign w:val="bottom"/>
            <w:gridSpan w:val="2"/>
            <w:shd w:val="clear" w:color="auto" w:fill="CCEEFF"/>
          </w:tcPr>
          <w:p>
            <w:pPr>
              <w:ind w:left="2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w:t>
            </w: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40,814</w:t>
            </w:r>
          </w:p>
        </w:tc>
        <w:tc>
          <w:tcPr>
            <w:tcW w:w="100" w:type="dxa"/>
            <w:vAlign w:val="bottom"/>
            <w:shd w:val="clear" w:color="auto" w:fill="CCEEFF"/>
          </w:tcPr>
          <w:p>
            <w:pPr>
              <w:spacing w:after="0"/>
              <w:rPr>
                <w:sz w:val="21"/>
                <w:szCs w:val="21"/>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41,186</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6060" w:type="dxa"/>
            <w:vAlign w:val="bottom"/>
            <w:gridSpan w:val="2"/>
          </w:tcPr>
          <w:p>
            <w:pPr>
              <w:ind w:left="20"/>
              <w:spacing w:after="0"/>
              <w:rPr>
                <w:sz w:val="20"/>
                <w:szCs w:val="20"/>
                <w:color w:val="auto"/>
              </w:rPr>
            </w:pPr>
            <w:r>
              <w:rPr>
                <w:rFonts w:ascii="Arial" w:cs="Arial" w:eastAsia="Arial" w:hAnsi="Arial"/>
                <w:sz w:val="17"/>
                <w:szCs w:val="17"/>
                <w:color w:val="auto"/>
              </w:rPr>
              <w:t>Kittila mine</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36,027</w:t>
            </w:r>
          </w:p>
        </w:tc>
        <w:tc>
          <w:tcPr>
            <w:tcW w:w="100" w:type="dxa"/>
            <w:vAlign w:val="bottom"/>
          </w:tcPr>
          <w:p>
            <w:pPr>
              <w:spacing w:after="0"/>
              <w:rPr>
                <w:sz w:val="18"/>
                <w:szCs w:val="18"/>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31,999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60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Pinos Altos mine</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23,856</w:t>
            </w: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24,212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6060" w:type="dxa"/>
            <w:vAlign w:val="bottom"/>
            <w:gridSpan w:val="2"/>
          </w:tcPr>
          <w:p>
            <w:pPr>
              <w:ind w:left="20"/>
              <w:spacing w:after="0"/>
              <w:rPr>
                <w:sz w:val="20"/>
                <w:szCs w:val="20"/>
                <w:color w:val="auto"/>
              </w:rPr>
            </w:pPr>
            <w:r>
              <w:rPr>
                <w:rFonts w:ascii="Arial" w:cs="Arial" w:eastAsia="Arial" w:hAnsi="Arial"/>
                <w:sz w:val="17"/>
                <w:szCs w:val="17"/>
                <w:color w:val="auto"/>
              </w:rPr>
              <w:t>Creston Mascota deposit at Pinos Altos</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5,781</w:t>
            </w:r>
          </w:p>
        </w:tc>
        <w:tc>
          <w:tcPr>
            <w:tcW w:w="100" w:type="dxa"/>
            <w:vAlign w:val="bottom"/>
          </w:tcPr>
          <w:p>
            <w:pPr>
              <w:spacing w:after="0"/>
              <w:rPr>
                <w:sz w:val="18"/>
                <w:szCs w:val="18"/>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5,606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60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La India mine</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10,915</w:t>
            </w: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12,465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6060" w:type="dxa"/>
            <w:vAlign w:val="bottom"/>
            <w:gridSpan w:val="2"/>
            <w:vMerge w:val="restart"/>
          </w:tcPr>
          <w:p>
            <w:pPr>
              <w:ind w:left="20"/>
              <w:spacing w:after="0"/>
              <w:rPr>
                <w:sz w:val="20"/>
                <w:szCs w:val="20"/>
                <w:color w:val="auto"/>
              </w:rPr>
            </w:pPr>
            <w:r>
              <w:rPr>
                <w:rFonts w:ascii="Arial" w:cs="Arial" w:eastAsia="Arial" w:hAnsi="Arial"/>
                <w:sz w:val="17"/>
                <w:szCs w:val="17"/>
                <w:color w:val="auto"/>
                <w:w w:val="96"/>
              </w:rPr>
              <w:t>Production costs per the interim condensed consolidated statements of income and</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1140" w:type="dxa"/>
            <w:vAlign w:val="bottom"/>
          </w:tcPr>
          <w:p>
            <w:pPr>
              <w:spacing w:after="0"/>
              <w:rPr>
                <w:sz w:val="16"/>
                <w:szCs w:val="16"/>
                <w:color w:val="auto"/>
              </w:rPr>
            </w:pPr>
          </w:p>
        </w:tc>
        <w:tc>
          <w:tcPr>
            <w:tcW w:w="606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6060" w:type="dxa"/>
            <w:vAlign w:val="bottom"/>
            <w:gridSpan w:val="2"/>
          </w:tcPr>
          <w:p>
            <w:pPr>
              <w:ind w:left="180"/>
              <w:spacing w:after="0"/>
              <w:rPr>
                <w:sz w:val="20"/>
                <w:szCs w:val="20"/>
                <w:color w:val="auto"/>
              </w:rPr>
            </w:pPr>
            <w:r>
              <w:rPr>
                <w:rFonts w:ascii="Arial" w:cs="Arial" w:eastAsia="Arial" w:hAnsi="Arial"/>
                <w:sz w:val="17"/>
                <w:szCs w:val="17"/>
                <w:color w:val="auto"/>
              </w:rPr>
              <w:t>comprehensive income</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243,973</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247,280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
        </w:trPr>
        <w:tc>
          <w:tcPr>
            <w:tcW w:w="7200" w:type="dxa"/>
            <w:vAlign w:val="bottom"/>
            <w:gridSpan w:val="3"/>
            <w:vMerge w:val="restart"/>
          </w:tcPr>
          <w:p>
            <w:pPr>
              <w:jc w:val="right"/>
              <w:ind w:right="1400"/>
              <w:spacing w:after="0"/>
              <w:rPr>
                <w:sz w:val="20"/>
                <w:szCs w:val="20"/>
                <w:color w:val="auto"/>
              </w:rPr>
            </w:pPr>
            <w:r>
              <w:rPr>
                <w:rFonts w:ascii="Arial" w:cs="Arial" w:eastAsia="Arial" w:hAnsi="Arial"/>
                <w:sz w:val="17"/>
                <w:szCs w:val="17"/>
                <w:color w:val="auto"/>
              </w:rPr>
              <w:t>12</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200" w:type="dxa"/>
            <w:vAlign w:val="bottom"/>
            <w:gridSpan w:val="3"/>
            <w:vMerge w:val="continue"/>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7200" w:type="dxa"/>
            <w:vAlign w:val="bottom"/>
            <w:gridSpan w:val="3"/>
            <w:vMerge w:val="continue"/>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2200" w:type="dxa"/>
            <w:vAlign w:val="bottom"/>
            <w:tcBorders>
              <w:bottom w:val="single" w:sz="8" w:color="808080"/>
            </w:tcBorders>
          </w:tcPr>
          <w:p>
            <w:pPr>
              <w:spacing w:after="0"/>
              <w:rPr>
                <w:sz w:val="19"/>
                <w:szCs w:val="19"/>
                <w:color w:val="auto"/>
              </w:rPr>
            </w:pPr>
          </w:p>
        </w:tc>
        <w:tc>
          <w:tcPr>
            <w:tcW w:w="38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6" w:name="page17"/>
    <w:bookmarkEnd w:id="16"/>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Months Ended March 31, 2016</w:t>
      </w:r>
    </w:p>
    <w:p>
      <w:pPr>
        <w:spacing w:after="0" w:line="215" w:lineRule="exact"/>
        <w:rPr>
          <w:sz w:val="20"/>
          <w:szCs w:val="20"/>
          <w:color w:val="auto"/>
        </w:rPr>
      </w:pPr>
    </w:p>
    <w:p>
      <w:pPr>
        <w:spacing w:after="0" w:line="232" w:lineRule="auto"/>
        <w:rPr>
          <w:sz w:val="20"/>
          <w:szCs w:val="20"/>
          <w:color w:val="auto"/>
        </w:rPr>
      </w:pPr>
      <w:r>
        <w:rPr>
          <w:rFonts w:ascii="Arial" w:cs="Arial" w:eastAsia="Arial" w:hAnsi="Arial"/>
          <w:sz w:val="17"/>
          <w:szCs w:val="17"/>
          <w:b w:val="1"/>
          <w:bCs w:val="1"/>
          <w:u w:val="single" w:color="auto"/>
          <w:color w:val="auto"/>
        </w:rPr>
        <w:t>Reconciliation of Production Costs to Total Cash Costs per Ounce of Gold Produced</w:t>
      </w:r>
      <w:r>
        <w:rPr>
          <w:rFonts w:ascii="Arial" w:cs="Arial" w:eastAsia="Arial" w:hAnsi="Arial"/>
          <w:sz w:val="28"/>
          <w:szCs w:val="28"/>
          <w:b w:val="1"/>
          <w:bCs w:val="1"/>
          <w:u w:val="single" w:color="auto"/>
          <w:color w:val="auto"/>
          <w:vertAlign w:val="superscript"/>
        </w:rPr>
        <w:t>(ii)</w:t>
      </w:r>
      <w:r>
        <w:rPr>
          <w:rFonts w:ascii="Arial" w:cs="Arial" w:eastAsia="Arial" w:hAnsi="Arial"/>
          <w:sz w:val="17"/>
          <w:szCs w:val="17"/>
          <w:b w:val="1"/>
          <w:bCs w:val="1"/>
          <w:color w:val="auto"/>
        </w:rPr>
        <w:t xml:space="preserve"> by Mine and Reconciliation of Production Costs to Minesite Costs per </w:t>
      </w:r>
      <w:r>
        <w:rPr>
          <w:rFonts w:ascii="Arial" w:cs="Arial" w:eastAsia="Arial" w:hAnsi="Arial"/>
          <w:sz w:val="17"/>
          <w:szCs w:val="17"/>
          <w:b w:val="1"/>
          <w:bCs w:val="1"/>
          <w:u w:val="single" w:color="auto"/>
          <w:color w:val="auto"/>
        </w:rPr>
        <w:t>Tonne</w:t>
      </w:r>
      <w:r>
        <w:rPr>
          <w:rFonts w:ascii="Arial" w:cs="Arial" w:eastAsia="Arial" w:hAnsi="Arial"/>
          <w:sz w:val="28"/>
          <w:szCs w:val="28"/>
          <w:b w:val="1"/>
          <w:bCs w:val="1"/>
          <w:u w:val="single" w:color="auto"/>
          <w:color w:val="auto"/>
          <w:vertAlign w:val="superscript"/>
        </w:rPr>
        <w:t>(iii)</w:t>
      </w:r>
      <w:r>
        <w:rPr>
          <w:rFonts w:ascii="Arial" w:cs="Arial" w:eastAsia="Arial" w:hAnsi="Arial"/>
          <w:sz w:val="17"/>
          <w:szCs w:val="17"/>
          <w:b w:val="1"/>
          <w:bCs w:val="1"/>
          <w:color w:val="auto"/>
        </w:rPr>
        <w:t xml:space="preserve"> by Mine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3997325</wp:posOffset>
            </wp:positionH>
            <wp:positionV relativeFrom="paragraph">
              <wp:posOffset>-254000</wp:posOffset>
            </wp:positionV>
            <wp:extent cx="324993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3249930" cy="8255"/>
                    </a:xfrm>
                    <a:prstGeom prst="rect">
                      <a:avLst/>
                    </a:prstGeom>
                    <a:noFill/>
                  </pic:spPr>
                </pic:pic>
              </a:graphicData>
            </a:graphic>
          </wp:anchor>
        </w:drawing>
        <w:drawing>
          <wp:anchor simplePos="0" relativeHeight="251657728" behindDoc="1" locked="0" layoutInCell="0" allowOverlap="1">
            <wp:simplePos x="0" y="0"/>
            <wp:positionH relativeFrom="column">
              <wp:posOffset>422910</wp:posOffset>
            </wp:positionH>
            <wp:positionV relativeFrom="paragraph">
              <wp:posOffset>-95885</wp:posOffset>
            </wp:positionV>
            <wp:extent cx="40894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408940" cy="8255"/>
                    </a:xfrm>
                    <a:prstGeom prst="rect">
                      <a:avLst/>
                    </a:prstGeom>
                    <a:noFill/>
                  </pic:spPr>
                </pic:pic>
              </a:graphicData>
            </a:graphic>
          </wp:anchor>
        </w:drawing>
      </w:r>
    </w:p>
    <w:p>
      <w:pPr>
        <w:spacing w:after="0" w:line="6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LaRonde Mine — Total Cash Costs per Ounce of Gold Produced</w:t>
      </w:r>
      <w:r>
        <w:rPr>
          <w:rFonts w:ascii="Arial" w:cs="Arial" w:eastAsia="Arial" w:hAnsi="Arial"/>
          <w:sz w:val="28"/>
          <w:szCs w:val="28"/>
          <w:b w:val="1"/>
          <w:bCs w:val="1"/>
          <w:u w:val="single" w:color="auto"/>
          <w:color w:val="auto"/>
          <w:vertAlign w:val="superscript"/>
        </w:rPr>
        <w:t>(ii)</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20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0" w:type="dxa"/>
            <w:vAlign w:val="bottom"/>
            <w:gridSpan w:val="4"/>
          </w:tcPr>
          <w:p>
            <w:pPr>
              <w:jc w:val="center"/>
              <w:ind w:right="200"/>
              <w:spacing w:after="0"/>
              <w:rPr>
                <w:sz w:val="20"/>
                <w:szCs w:val="20"/>
                <w:color w:val="auto"/>
              </w:rPr>
            </w:pPr>
            <w:r>
              <w:rPr>
                <w:rFonts w:ascii="Arial" w:cs="Arial" w:eastAsia="Arial" w:hAnsi="Arial"/>
                <w:sz w:val="13"/>
                <w:szCs w:val="13"/>
                <w:b w:val="1"/>
                <w:bCs w:val="1"/>
                <w:color w:val="auto"/>
                <w:w w:val="93"/>
              </w:rPr>
              <w:t>Three Months Ended</w:t>
            </w: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580" w:type="dxa"/>
            <w:vAlign w:val="bottom"/>
            <w:gridSpan w:val="3"/>
          </w:tcPr>
          <w:p>
            <w:pPr>
              <w:jc w:val="center"/>
              <w:ind w:right="1400"/>
              <w:spacing w:after="0"/>
              <w:rPr>
                <w:sz w:val="20"/>
                <w:szCs w:val="20"/>
                <w:color w:val="auto"/>
              </w:rPr>
            </w:pPr>
            <w:r>
              <w:rPr>
                <w:rFonts w:ascii="Arial" w:cs="Arial" w:eastAsia="Arial" w:hAnsi="Arial"/>
                <w:sz w:val="13"/>
                <w:szCs w:val="13"/>
                <w:b w:val="1"/>
                <w:bCs w:val="1"/>
                <w:color w:val="auto"/>
                <w:w w:val="91"/>
              </w:rPr>
              <w:t>Three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240" w:type="dxa"/>
            <w:vAlign w:val="bottom"/>
            <w:tcBorders>
              <w:bottom w:val="single" w:sz="8" w:color="auto"/>
            </w:tcBorders>
            <w:gridSpan w:val="3"/>
          </w:tcPr>
          <w:p>
            <w:pPr>
              <w:ind w:left="20"/>
              <w:spacing w:after="0"/>
              <w:rPr>
                <w:sz w:val="20"/>
                <w:szCs w:val="20"/>
                <w:color w:val="auto"/>
              </w:rPr>
            </w:pPr>
            <w:r>
              <w:rPr>
                <w:rFonts w:ascii="Arial" w:cs="Arial" w:eastAsia="Arial" w:hAnsi="Arial"/>
                <w:sz w:val="13"/>
                <w:szCs w:val="13"/>
                <w:b w:val="1"/>
                <w:bCs w:val="1"/>
                <w:color w:val="auto"/>
                <w:w w:val="97"/>
              </w:rPr>
              <w:t>(thousands of United States dollars, except as noted)</w:t>
            </w:r>
          </w:p>
        </w:tc>
        <w:tc>
          <w:tcPr>
            <w:tcW w:w="1100" w:type="dxa"/>
            <w:vAlign w:val="bottom"/>
            <w:gridSpan w:val="3"/>
          </w:tcPr>
          <w:p>
            <w:pPr>
              <w:spacing w:after="0"/>
              <w:rPr>
                <w:sz w:val="13"/>
                <w:szCs w:val="13"/>
                <w:color w:val="auto"/>
              </w:rPr>
            </w:pPr>
          </w:p>
        </w:tc>
        <w:tc>
          <w:tcPr>
            <w:tcW w:w="12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center"/>
              <w:ind w:left="79"/>
              <w:spacing w:after="0"/>
              <w:rPr>
                <w:sz w:val="20"/>
                <w:szCs w:val="20"/>
                <w:color w:val="auto"/>
              </w:rPr>
            </w:pPr>
            <w:r>
              <w:rPr>
                <w:rFonts w:ascii="Arial" w:cs="Arial" w:eastAsia="Arial" w:hAnsi="Arial"/>
                <w:sz w:val="13"/>
                <w:szCs w:val="13"/>
                <w:b w:val="1"/>
                <w:bCs w:val="1"/>
                <w:color w:val="auto"/>
                <w:w w:val="92"/>
              </w:rPr>
              <w:t>March 31, 2016</w:t>
            </w:r>
          </w:p>
        </w:tc>
        <w:tc>
          <w:tcPr>
            <w:tcW w:w="16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ind w:right="18"/>
              <w:spacing w:after="0"/>
              <w:rPr>
                <w:sz w:val="20"/>
                <w:szCs w:val="20"/>
                <w:color w:val="auto"/>
              </w:rPr>
            </w:pPr>
            <w:r>
              <w:rPr>
                <w:rFonts w:ascii="Arial" w:cs="Arial" w:eastAsia="Arial" w:hAnsi="Arial"/>
                <w:sz w:val="13"/>
                <w:szCs w:val="13"/>
                <w:b w:val="1"/>
                <w:bCs w:val="1"/>
                <w:color w:val="auto"/>
                <w:w w:val="92"/>
              </w:rPr>
              <w:t>March 31, 2015</w:t>
            </w:r>
          </w:p>
        </w:tc>
        <w:tc>
          <w:tcPr>
            <w:tcW w:w="130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Production costs</w:t>
            </w:r>
          </w:p>
        </w:tc>
        <w:tc>
          <w:tcPr>
            <w:tcW w:w="182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0" w:type="dxa"/>
            <w:vAlign w:val="bottom"/>
            <w:gridSpan w:val="4"/>
            <w:shd w:val="clear" w:color="auto" w:fill="CCEEFF"/>
          </w:tcPr>
          <w:p>
            <w:pPr>
              <w:jc w:val="right"/>
              <w:ind w:right="120"/>
              <w:spacing w:after="0"/>
              <w:rPr>
                <w:sz w:val="20"/>
                <w:szCs w:val="20"/>
                <w:color w:val="auto"/>
              </w:rPr>
            </w:pPr>
            <w:r>
              <w:rPr>
                <w:rFonts w:ascii="Arial" w:cs="Arial" w:eastAsia="Arial" w:hAnsi="Arial"/>
                <w:sz w:val="17"/>
                <w:szCs w:val="17"/>
                <w:color w:val="auto"/>
              </w:rPr>
              <w:t>45,854</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45,865</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340" w:type="dxa"/>
            <w:vAlign w:val="bottom"/>
            <w:gridSpan w:val="6"/>
          </w:tcPr>
          <w:p>
            <w:pPr>
              <w:ind w:left="20"/>
              <w:spacing w:after="0"/>
              <w:rPr>
                <w:sz w:val="20"/>
                <w:szCs w:val="20"/>
                <w:color w:val="auto"/>
              </w:rPr>
            </w:pPr>
            <w:r>
              <w:rPr>
                <w:rFonts w:ascii="Arial" w:cs="Arial" w:eastAsia="Arial" w:hAnsi="Arial"/>
                <w:sz w:val="17"/>
                <w:szCs w:val="17"/>
                <w:color w:val="auto"/>
              </w:rPr>
              <w:t>Adjustments:</w:t>
            </w:r>
          </w:p>
        </w:tc>
        <w:tc>
          <w:tcPr>
            <w:tcW w:w="1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4340" w:type="dxa"/>
            <w:vAlign w:val="bottom"/>
            <w:gridSpan w:val="6"/>
            <w:shd w:val="clear" w:color="auto" w:fill="CCEEFF"/>
          </w:tcPr>
          <w:p>
            <w:pPr>
              <w:ind w:left="360"/>
              <w:spacing w:after="0" w:line="249"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(iv)</w:t>
            </w:r>
          </w:p>
        </w:tc>
        <w:tc>
          <w:tcPr>
            <w:tcW w:w="1200" w:type="dxa"/>
            <w:vAlign w:val="bottom"/>
            <w:shd w:val="clear" w:color="auto" w:fill="CCEEFF"/>
          </w:tcPr>
          <w:p>
            <w:pPr>
              <w:spacing w:after="0"/>
              <w:rPr>
                <w:sz w:val="21"/>
                <w:szCs w:val="21"/>
                <w:color w:val="auto"/>
              </w:rPr>
            </w:pPr>
          </w:p>
        </w:tc>
        <w:tc>
          <w:tcPr>
            <w:tcW w:w="5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00" w:type="dxa"/>
            <w:vAlign w:val="bottom"/>
            <w:gridSpan w:val="4"/>
            <w:shd w:val="clear" w:color="auto" w:fill="CCEEFF"/>
          </w:tcPr>
          <w:p>
            <w:pPr>
              <w:jc w:val="right"/>
              <w:ind w:right="120"/>
              <w:spacing w:after="0"/>
              <w:rPr>
                <w:sz w:val="20"/>
                <w:szCs w:val="20"/>
                <w:color w:val="auto"/>
              </w:rPr>
            </w:pPr>
            <w:r>
              <w:rPr>
                <w:rFonts w:ascii="Arial" w:cs="Arial" w:eastAsia="Arial" w:hAnsi="Arial"/>
                <w:sz w:val="17"/>
                <w:szCs w:val="17"/>
                <w:color w:val="auto"/>
              </w:rPr>
              <w:t>4,619</w:t>
            </w:r>
          </w:p>
        </w:tc>
        <w:tc>
          <w:tcPr>
            <w:tcW w:w="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6,678</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340" w:type="dxa"/>
            <w:vAlign w:val="bottom"/>
            <w:gridSpan w:val="6"/>
            <w:vMerge w:val="restart"/>
          </w:tcPr>
          <w:p>
            <w:pPr>
              <w:ind w:left="20"/>
              <w:spacing w:after="0"/>
              <w:rPr>
                <w:sz w:val="20"/>
                <w:szCs w:val="20"/>
                <w:color w:val="auto"/>
              </w:rPr>
            </w:pPr>
            <w:r>
              <w:rPr>
                <w:rFonts w:ascii="Arial" w:cs="Arial" w:eastAsia="Arial" w:hAnsi="Arial"/>
                <w:sz w:val="17"/>
                <w:szCs w:val="17"/>
                <w:color w:val="auto"/>
              </w:rPr>
              <w:t>Cash operating costs (co-product basis)</w:t>
            </w:r>
          </w:p>
        </w:tc>
        <w:tc>
          <w:tcPr>
            <w:tcW w:w="1200" w:type="dxa"/>
            <w:vAlign w:val="bottom"/>
          </w:tcPr>
          <w:p>
            <w:pPr>
              <w:spacing w:after="0"/>
              <w:rPr>
                <w:sz w:val="2"/>
                <w:szCs w:val="2"/>
                <w:color w:val="auto"/>
              </w:rPr>
            </w:pPr>
          </w:p>
        </w:tc>
        <w:tc>
          <w:tcPr>
            <w:tcW w:w="620" w:type="dxa"/>
            <w:vAlign w:val="bottom"/>
            <w:gridSpan w:val="2"/>
          </w:tcPr>
          <w:p>
            <w:pPr>
              <w:spacing w:after="0"/>
              <w:rPr>
                <w:sz w:val="2"/>
                <w:szCs w:val="2"/>
                <w:color w:val="auto"/>
              </w:rPr>
            </w:pPr>
          </w:p>
        </w:tc>
        <w:tc>
          <w:tcPr>
            <w:tcW w:w="10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gridSpan w:val="2"/>
          </w:tcPr>
          <w:p>
            <w:pPr>
              <w:spacing w:after="0"/>
              <w:rPr>
                <w:sz w:val="2"/>
                <w:szCs w:val="2"/>
                <w:color w:val="auto"/>
              </w:rPr>
            </w:pPr>
          </w:p>
        </w:tc>
        <w:tc>
          <w:tcPr>
            <w:tcW w:w="140" w:type="dxa"/>
            <w:vAlign w:val="bottom"/>
            <w:gridSpan w:val="2"/>
          </w:tcPr>
          <w:p>
            <w:pPr>
              <w:spacing w:after="0"/>
              <w:rPr>
                <w:sz w:val="2"/>
                <w:szCs w:val="2"/>
                <w:color w:val="auto"/>
              </w:rPr>
            </w:pPr>
          </w:p>
        </w:tc>
        <w:tc>
          <w:tcPr>
            <w:tcW w:w="142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vMerge w:val="continue"/>
          </w:tcPr>
          <w:p>
            <w:pPr>
              <w:spacing w:after="0"/>
              <w:rPr>
                <w:sz w:val="17"/>
                <w:szCs w:val="17"/>
                <w:color w:val="auto"/>
              </w:rPr>
            </w:pPr>
          </w:p>
        </w:tc>
        <w:tc>
          <w:tcPr>
            <w:tcW w:w="12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3"/>
          </w:tcPr>
          <w:p>
            <w:pPr>
              <w:jc w:val="right"/>
              <w:spacing w:after="0"/>
              <w:rPr>
                <w:sz w:val="20"/>
                <w:szCs w:val="20"/>
                <w:color w:val="auto"/>
              </w:rPr>
            </w:pPr>
            <w:r>
              <w:rPr>
                <w:rFonts w:ascii="Arial" w:cs="Arial" w:eastAsia="Arial" w:hAnsi="Arial"/>
                <w:sz w:val="17"/>
                <w:szCs w:val="17"/>
                <w:color w:val="auto"/>
              </w:rPr>
              <w:t>50,473</w:t>
            </w: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52,543</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340" w:type="dxa"/>
            <w:vAlign w:val="bottom"/>
            <w:gridSpan w:val="6"/>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12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0" w:type="dxa"/>
            <w:vAlign w:val="bottom"/>
            <w:gridSpan w:val="4"/>
            <w:shd w:val="clear" w:color="auto" w:fill="CCEEFF"/>
          </w:tcPr>
          <w:p>
            <w:pPr>
              <w:jc w:val="right"/>
              <w:ind w:right="60"/>
              <w:spacing w:after="0"/>
              <w:rPr>
                <w:sz w:val="20"/>
                <w:szCs w:val="20"/>
                <w:color w:val="auto"/>
              </w:rPr>
            </w:pPr>
            <w:r>
              <w:rPr>
                <w:rFonts w:ascii="Arial" w:cs="Arial" w:eastAsia="Arial" w:hAnsi="Arial"/>
                <w:sz w:val="17"/>
                <w:szCs w:val="17"/>
                <w:color w:val="auto"/>
              </w:rPr>
              <w:t>(10,646)</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(11,134)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340" w:type="dxa"/>
            <w:vAlign w:val="bottom"/>
            <w:gridSpan w:val="6"/>
            <w:vMerge w:val="restart"/>
          </w:tcPr>
          <w:p>
            <w:pPr>
              <w:ind w:left="20"/>
              <w:spacing w:after="0"/>
              <w:rPr>
                <w:sz w:val="20"/>
                <w:szCs w:val="20"/>
                <w:color w:val="auto"/>
              </w:rPr>
            </w:pPr>
            <w:r>
              <w:rPr>
                <w:rFonts w:ascii="Arial" w:cs="Arial" w:eastAsia="Arial" w:hAnsi="Arial"/>
                <w:sz w:val="17"/>
                <w:szCs w:val="17"/>
                <w:color w:val="auto"/>
              </w:rPr>
              <w:t>Cash operating costs (by-product basis)</w:t>
            </w:r>
          </w:p>
        </w:tc>
        <w:tc>
          <w:tcPr>
            <w:tcW w:w="1200" w:type="dxa"/>
            <w:vAlign w:val="bottom"/>
          </w:tcPr>
          <w:p>
            <w:pPr>
              <w:spacing w:after="0"/>
              <w:rPr>
                <w:sz w:val="2"/>
                <w:szCs w:val="2"/>
                <w:color w:val="auto"/>
              </w:rPr>
            </w:pPr>
          </w:p>
        </w:tc>
        <w:tc>
          <w:tcPr>
            <w:tcW w:w="620" w:type="dxa"/>
            <w:vAlign w:val="bottom"/>
            <w:gridSpan w:val="2"/>
          </w:tcPr>
          <w:p>
            <w:pPr>
              <w:spacing w:after="0"/>
              <w:rPr>
                <w:sz w:val="2"/>
                <w:szCs w:val="2"/>
                <w:color w:val="auto"/>
              </w:rPr>
            </w:pPr>
          </w:p>
        </w:tc>
        <w:tc>
          <w:tcPr>
            <w:tcW w:w="10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gridSpan w:val="2"/>
          </w:tcPr>
          <w:p>
            <w:pPr>
              <w:spacing w:after="0"/>
              <w:rPr>
                <w:sz w:val="2"/>
                <w:szCs w:val="2"/>
                <w:color w:val="auto"/>
              </w:rPr>
            </w:pPr>
          </w:p>
        </w:tc>
        <w:tc>
          <w:tcPr>
            <w:tcW w:w="140" w:type="dxa"/>
            <w:vAlign w:val="bottom"/>
            <w:gridSpan w:val="2"/>
          </w:tcPr>
          <w:p>
            <w:pPr>
              <w:spacing w:after="0"/>
              <w:rPr>
                <w:sz w:val="2"/>
                <w:szCs w:val="2"/>
                <w:color w:val="auto"/>
              </w:rPr>
            </w:pPr>
          </w:p>
        </w:tc>
        <w:tc>
          <w:tcPr>
            <w:tcW w:w="142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vMerge w:val="continue"/>
          </w:tcPr>
          <w:p>
            <w:pPr>
              <w:spacing w:after="0"/>
              <w:rPr>
                <w:sz w:val="17"/>
                <w:szCs w:val="17"/>
                <w:color w:val="auto"/>
              </w:rPr>
            </w:pPr>
          </w:p>
        </w:tc>
        <w:tc>
          <w:tcPr>
            <w:tcW w:w="12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3"/>
          </w:tcPr>
          <w:p>
            <w:pPr>
              <w:jc w:val="right"/>
              <w:spacing w:after="0"/>
              <w:rPr>
                <w:sz w:val="20"/>
                <w:szCs w:val="20"/>
                <w:color w:val="auto"/>
              </w:rPr>
            </w:pPr>
            <w:r>
              <w:rPr>
                <w:rFonts w:ascii="Arial" w:cs="Arial" w:eastAsia="Arial" w:hAnsi="Arial"/>
                <w:sz w:val="17"/>
                <w:szCs w:val="17"/>
                <w:color w:val="auto"/>
              </w:rPr>
              <w:t>39,827</w:t>
            </w: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41,409</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3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Gold production (ounces)</w:t>
            </w:r>
          </w:p>
        </w:tc>
        <w:tc>
          <w:tcPr>
            <w:tcW w:w="12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0" w:type="dxa"/>
            <w:vAlign w:val="bottom"/>
            <w:gridSpan w:val="4"/>
            <w:shd w:val="clear" w:color="auto" w:fill="CCEEFF"/>
          </w:tcPr>
          <w:p>
            <w:pPr>
              <w:jc w:val="right"/>
              <w:ind w:right="120"/>
              <w:spacing w:after="0"/>
              <w:rPr>
                <w:sz w:val="20"/>
                <w:szCs w:val="20"/>
                <w:color w:val="auto"/>
              </w:rPr>
            </w:pPr>
            <w:r>
              <w:rPr>
                <w:rFonts w:ascii="Arial" w:cs="Arial" w:eastAsia="Arial" w:hAnsi="Arial"/>
                <w:sz w:val="17"/>
                <w:szCs w:val="17"/>
                <w:color w:val="auto"/>
              </w:rPr>
              <w:t>75,337</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58,893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4340" w:type="dxa"/>
            <w:vAlign w:val="bottom"/>
            <w:gridSpan w:val="6"/>
          </w:tcPr>
          <w:p>
            <w:pPr>
              <w:ind w:left="20"/>
              <w:spacing w:after="0" w:line="276" w:lineRule="exact"/>
              <w:rPr>
                <w:sz w:val="20"/>
                <w:szCs w:val="20"/>
                <w:color w:val="auto"/>
              </w:rPr>
            </w:pPr>
            <w:r>
              <w:rPr>
                <w:rFonts w:ascii="Arial" w:cs="Arial" w:eastAsia="Arial" w:hAnsi="Arial"/>
                <w:sz w:val="17"/>
                <w:szCs w:val="17"/>
                <w:color w:val="auto"/>
                <w:w w:val="92"/>
              </w:rPr>
              <w:t>Total cash costs per ounce of gold produced ($ per ounce)</w:t>
            </w:r>
            <w:r>
              <w:rPr>
                <w:rFonts w:ascii="Arial" w:cs="Arial" w:eastAsia="Arial" w:hAnsi="Arial"/>
                <w:sz w:val="28"/>
                <w:szCs w:val="28"/>
                <w:color w:val="auto"/>
                <w:w w:val="92"/>
                <w:vertAlign w:val="superscript"/>
              </w:rPr>
              <w:t>(ii)</w:t>
            </w:r>
            <w:r>
              <w:rPr>
                <w:rFonts w:ascii="Arial" w:cs="Arial" w:eastAsia="Arial" w:hAnsi="Arial"/>
                <w:sz w:val="17"/>
                <w:szCs w:val="17"/>
                <w:color w:val="auto"/>
                <w:w w:val="92"/>
              </w:rPr>
              <w:t>:</w:t>
            </w:r>
          </w:p>
        </w:tc>
        <w:tc>
          <w:tcPr>
            <w:tcW w:w="12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280" w:type="dxa"/>
            <w:vAlign w:val="bottom"/>
            <w:tcBorders>
              <w:bottom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182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20" w:type="dxa"/>
            <w:vAlign w:val="bottom"/>
            <w:shd w:val="clear" w:color="auto" w:fill="CCEEFF"/>
          </w:tcPr>
          <w:p>
            <w:pPr>
              <w:spacing w:after="0"/>
              <w:rPr>
                <w:sz w:val="17"/>
                <w:szCs w:val="17"/>
                <w:color w:val="auto"/>
              </w:rPr>
            </w:pPr>
          </w:p>
        </w:tc>
        <w:tc>
          <w:tcPr>
            <w:tcW w:w="380" w:type="dxa"/>
            <w:vAlign w:val="bottom"/>
            <w:gridSpan w:val="3"/>
            <w:shd w:val="clear" w:color="auto" w:fill="CCEEFF"/>
          </w:tcPr>
          <w:p>
            <w:pPr>
              <w:jc w:val="right"/>
              <w:ind w:right="120"/>
              <w:spacing w:after="0"/>
              <w:rPr>
                <w:sz w:val="20"/>
                <w:szCs w:val="20"/>
                <w:color w:val="auto"/>
              </w:rPr>
            </w:pPr>
            <w:r>
              <w:rPr>
                <w:rFonts w:ascii="Arial" w:cs="Arial" w:eastAsia="Arial" w:hAnsi="Arial"/>
                <w:sz w:val="17"/>
                <w:szCs w:val="17"/>
                <w:color w:val="auto"/>
                <w:w w:val="84"/>
              </w:rPr>
              <w:t>670</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892</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340" w:type="dxa"/>
            <w:vAlign w:val="bottom"/>
            <w:gridSpan w:val="6"/>
            <w:vMerge w:val="restart"/>
          </w:tcPr>
          <w:p>
            <w:pPr>
              <w:ind w:left="180"/>
              <w:spacing w:after="0"/>
              <w:rPr>
                <w:sz w:val="20"/>
                <w:szCs w:val="20"/>
                <w:color w:val="auto"/>
              </w:rPr>
            </w:pPr>
            <w:r>
              <w:rPr>
                <w:rFonts w:ascii="Arial" w:cs="Arial" w:eastAsia="Arial" w:hAnsi="Arial"/>
                <w:sz w:val="17"/>
                <w:szCs w:val="17"/>
                <w:color w:val="auto"/>
              </w:rPr>
              <w:t>By-product basis</w:t>
            </w:r>
          </w:p>
        </w:tc>
        <w:tc>
          <w:tcPr>
            <w:tcW w:w="120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340" w:type="dxa"/>
            <w:vAlign w:val="bottom"/>
            <w:gridSpan w:val="6"/>
            <w:vMerge w:val="continue"/>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42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1140" w:type="dxa"/>
            <w:vAlign w:val="bottom"/>
          </w:tcPr>
          <w:p>
            <w:pPr>
              <w:spacing w:after="0"/>
              <w:rPr>
                <w:sz w:val="16"/>
                <w:szCs w:val="16"/>
                <w:color w:val="auto"/>
              </w:rPr>
            </w:pPr>
          </w:p>
        </w:tc>
        <w:tc>
          <w:tcPr>
            <w:tcW w:w="4340" w:type="dxa"/>
            <w:vAlign w:val="bottom"/>
            <w:gridSpan w:val="6"/>
            <w:vMerge w:val="continue"/>
          </w:tcPr>
          <w:p>
            <w:pPr>
              <w:spacing w:after="0"/>
              <w:rPr>
                <w:sz w:val="16"/>
                <w:szCs w:val="16"/>
                <w:color w:val="auto"/>
              </w:rPr>
            </w:pPr>
          </w:p>
        </w:tc>
        <w:tc>
          <w:tcPr>
            <w:tcW w:w="12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020" w:type="dxa"/>
            <w:vAlign w:val="bottom"/>
            <w:tcBorders>
              <w:top w:val="single" w:sz="8" w:color="auto"/>
            </w:tcBorders>
          </w:tcPr>
          <w:p>
            <w:pPr>
              <w:spacing w:after="0"/>
              <w:rPr>
                <w:sz w:val="16"/>
                <w:szCs w:val="16"/>
                <w:color w:val="auto"/>
              </w:rPr>
            </w:pPr>
          </w:p>
        </w:tc>
        <w:tc>
          <w:tcPr>
            <w:tcW w:w="26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w w:val="84"/>
              </w:rPr>
              <w:t>529</w:t>
            </w:r>
          </w:p>
        </w:tc>
        <w:tc>
          <w:tcPr>
            <w:tcW w:w="1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703</w:t>
            </w:r>
          </w:p>
        </w:tc>
        <w:tc>
          <w:tcPr>
            <w:tcW w:w="1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200" w:type="dxa"/>
            <w:vAlign w:val="bottom"/>
            <w:gridSpan w:val="2"/>
            <w:vMerge w:val="restart"/>
          </w:tcPr>
          <w:p>
            <w:pPr>
              <w:spacing w:after="0"/>
              <w:rPr>
                <w:sz w:val="20"/>
                <w:szCs w:val="20"/>
                <w:color w:val="auto"/>
              </w:rPr>
            </w:pPr>
            <w:r>
              <w:rPr>
                <w:rFonts w:ascii="Arial" w:cs="Arial" w:eastAsia="Arial" w:hAnsi="Arial"/>
                <w:sz w:val="17"/>
                <w:szCs w:val="17"/>
                <w:b w:val="1"/>
                <w:bCs w:val="1"/>
                <w:color w:val="auto"/>
                <w:w w:val="90"/>
              </w:rPr>
              <w:t>LaRonde Mine — Minesite Costs per Tonne</w:t>
            </w:r>
          </w:p>
        </w:tc>
        <w:tc>
          <w:tcPr>
            <w:tcW w:w="220" w:type="dxa"/>
            <w:vAlign w:val="bottom"/>
            <w:vMerge w:val="restart"/>
          </w:tcPr>
          <w:p>
            <w:pPr>
              <w:spacing w:after="0"/>
              <w:rPr>
                <w:sz w:val="20"/>
                <w:szCs w:val="20"/>
                <w:color w:val="auto"/>
              </w:rPr>
            </w:pPr>
            <w:r>
              <w:rPr>
                <w:rFonts w:ascii="Arial" w:cs="Arial" w:eastAsia="Arial" w:hAnsi="Arial"/>
                <w:sz w:val="14"/>
                <w:szCs w:val="14"/>
                <w:b w:val="1"/>
                <w:bCs w:val="1"/>
                <w:color w:val="auto"/>
                <w:w w:val="95"/>
              </w:rPr>
              <w:t>(iii)</w:t>
            </w: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3200" w:type="dxa"/>
            <w:vAlign w:val="bottom"/>
            <w:gridSpan w:val="2"/>
            <w:vMerge w:val="continue"/>
          </w:tcPr>
          <w:p>
            <w:pPr>
              <w:spacing w:after="0" w:line="20" w:lineRule="exact"/>
              <w:rPr>
                <w:sz w:val="1"/>
                <w:szCs w:val="1"/>
                <w:color w:val="auto"/>
              </w:rPr>
            </w:pPr>
          </w:p>
        </w:tc>
        <w:tc>
          <w:tcPr>
            <w:tcW w:w="220" w:type="dxa"/>
            <w:vAlign w:val="bottom"/>
            <w:vMerge w:val="continue"/>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3200" w:type="dxa"/>
            <w:vAlign w:val="bottom"/>
            <w:gridSpan w:val="2"/>
            <w:vMerge w:val="continue"/>
          </w:tcPr>
          <w:p>
            <w:pPr>
              <w:spacing w:after="0"/>
              <w:rPr>
                <w:sz w:val="24"/>
                <w:szCs w:val="24"/>
                <w:color w:val="auto"/>
              </w:rPr>
            </w:pPr>
          </w:p>
        </w:tc>
        <w:tc>
          <w:tcPr>
            <w:tcW w:w="220" w:type="dxa"/>
            <w:vAlign w:val="bottom"/>
            <w:tcBorders>
              <w:bottom w:val="single" w:sz="8" w:color="auto"/>
            </w:tcBorders>
            <w:vMerge w:val="continue"/>
          </w:tcPr>
          <w:p>
            <w:pPr>
              <w:spacing w:after="0"/>
              <w:rPr>
                <w:sz w:val="24"/>
                <w:szCs w:val="24"/>
                <w:color w:val="auto"/>
              </w:rPr>
            </w:pPr>
          </w:p>
        </w:tc>
        <w:tc>
          <w:tcPr>
            <w:tcW w:w="960" w:type="dxa"/>
            <w:vAlign w:val="bottom"/>
            <w:vMerge w:val="restart"/>
          </w:tcPr>
          <w:p>
            <w:pPr>
              <w:spacing w:after="0"/>
              <w:rPr>
                <w:sz w:val="24"/>
                <w:szCs w:val="24"/>
                <w:color w:val="auto"/>
              </w:rPr>
            </w:pPr>
          </w:p>
        </w:tc>
        <w:tc>
          <w:tcPr>
            <w:tcW w:w="40" w:type="dxa"/>
            <w:vAlign w:val="bottom"/>
            <w:vMerge w:val="restart"/>
          </w:tcPr>
          <w:p>
            <w:pPr>
              <w:spacing w:after="0"/>
              <w:rPr>
                <w:sz w:val="24"/>
                <w:szCs w:val="24"/>
                <w:color w:val="auto"/>
              </w:rPr>
            </w:pPr>
          </w:p>
        </w:tc>
        <w:tc>
          <w:tcPr>
            <w:tcW w:w="160" w:type="dxa"/>
            <w:vAlign w:val="bottom"/>
            <w:vMerge w:val="restart"/>
          </w:tcPr>
          <w:p>
            <w:pPr>
              <w:spacing w:after="0"/>
              <w:rPr>
                <w:sz w:val="24"/>
                <w:szCs w:val="24"/>
                <w:color w:val="auto"/>
              </w:rPr>
            </w:pPr>
          </w:p>
        </w:tc>
        <w:tc>
          <w:tcPr>
            <w:tcW w:w="900" w:type="dxa"/>
            <w:vAlign w:val="bottom"/>
            <w:vMerge w:val="restart"/>
          </w:tcPr>
          <w:p>
            <w:pPr>
              <w:spacing w:after="0"/>
              <w:rPr>
                <w:sz w:val="24"/>
                <w:szCs w:val="24"/>
                <w:color w:val="auto"/>
              </w:rPr>
            </w:pPr>
          </w:p>
        </w:tc>
        <w:tc>
          <w:tcPr>
            <w:tcW w:w="1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200" w:type="dxa"/>
            <w:vAlign w:val="bottom"/>
            <w:tcBorders>
              <w:bottom w:val="single" w:sz="8" w:color="auto"/>
            </w:tcBorders>
            <w:gridSpan w:val="2"/>
            <w:vMerge w:val="continue"/>
          </w:tcPr>
          <w:p>
            <w:pPr>
              <w:spacing w:after="0"/>
              <w:rPr>
                <w:sz w:val="3"/>
                <w:szCs w:val="3"/>
                <w:color w:val="auto"/>
              </w:rPr>
            </w:pPr>
          </w:p>
        </w:tc>
        <w:tc>
          <w:tcPr>
            <w:tcW w:w="220" w:type="dxa"/>
            <w:vAlign w:val="bottom"/>
          </w:tcPr>
          <w:p>
            <w:pPr>
              <w:spacing w:after="0"/>
              <w:rPr>
                <w:sz w:val="3"/>
                <w:szCs w:val="3"/>
                <w:color w:val="auto"/>
              </w:rPr>
            </w:pPr>
          </w:p>
        </w:tc>
        <w:tc>
          <w:tcPr>
            <w:tcW w:w="960" w:type="dxa"/>
            <w:vAlign w:val="bottom"/>
            <w:vMerge w:val="continue"/>
          </w:tcPr>
          <w:p>
            <w:pPr>
              <w:spacing w:after="0"/>
              <w:rPr>
                <w:sz w:val="3"/>
                <w:szCs w:val="3"/>
                <w:color w:val="auto"/>
              </w:rPr>
            </w:pPr>
          </w:p>
        </w:tc>
        <w:tc>
          <w:tcPr>
            <w:tcW w:w="40" w:type="dxa"/>
            <w:vAlign w:val="bottom"/>
            <w:vMerge w:val="continue"/>
          </w:tcPr>
          <w:p>
            <w:pPr>
              <w:spacing w:after="0"/>
              <w:rPr>
                <w:sz w:val="3"/>
                <w:szCs w:val="3"/>
                <w:color w:val="auto"/>
              </w:rPr>
            </w:pPr>
          </w:p>
        </w:tc>
        <w:tc>
          <w:tcPr>
            <w:tcW w:w="160" w:type="dxa"/>
            <w:vAlign w:val="bottom"/>
            <w:vMerge w:val="continue"/>
          </w:tcPr>
          <w:p>
            <w:pPr>
              <w:spacing w:after="0"/>
              <w:rPr>
                <w:sz w:val="3"/>
                <w:szCs w:val="3"/>
                <w:color w:val="auto"/>
              </w:rPr>
            </w:pPr>
          </w:p>
        </w:tc>
        <w:tc>
          <w:tcPr>
            <w:tcW w:w="900" w:type="dxa"/>
            <w:vAlign w:val="bottom"/>
            <w:vMerge w:val="continue"/>
          </w:tcPr>
          <w:p>
            <w:pPr>
              <w:spacing w:after="0"/>
              <w:rPr>
                <w:sz w:val="3"/>
                <w:szCs w:val="3"/>
                <w:color w:val="auto"/>
              </w:rPr>
            </w:pPr>
          </w:p>
        </w:tc>
        <w:tc>
          <w:tcPr>
            <w:tcW w:w="1200" w:type="dxa"/>
            <w:vAlign w:val="bottom"/>
          </w:tcPr>
          <w:p>
            <w:pPr>
              <w:spacing w:after="0"/>
              <w:rPr>
                <w:sz w:val="3"/>
                <w:szCs w:val="3"/>
                <w:color w:val="auto"/>
              </w:rPr>
            </w:pPr>
          </w:p>
        </w:tc>
        <w:tc>
          <w:tcPr>
            <w:tcW w:w="1640" w:type="dxa"/>
            <w:vAlign w:val="bottom"/>
            <w:gridSpan w:val="3"/>
            <w:vMerge w:val="restart"/>
          </w:tcPr>
          <w:p>
            <w:pPr>
              <w:jc w:val="right"/>
              <w:ind w:right="139"/>
              <w:spacing w:after="0"/>
              <w:rPr>
                <w:sz w:val="20"/>
                <w:szCs w:val="20"/>
                <w:color w:val="auto"/>
              </w:rPr>
            </w:pPr>
            <w:r>
              <w:rPr>
                <w:rFonts w:ascii="Arial" w:cs="Arial" w:eastAsia="Arial" w:hAnsi="Arial"/>
                <w:sz w:val="13"/>
                <w:szCs w:val="13"/>
                <w:b w:val="1"/>
                <w:bCs w:val="1"/>
                <w:color w:val="auto"/>
              </w:rPr>
              <w:t>Three Months Ended</w:t>
            </w: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2720" w:type="dxa"/>
            <w:vAlign w:val="bottom"/>
            <w:gridSpan w:val="5"/>
            <w:vMerge w:val="restart"/>
          </w:tcPr>
          <w:p>
            <w:pPr>
              <w:spacing w:after="0"/>
              <w:rPr>
                <w:sz w:val="20"/>
                <w:szCs w:val="20"/>
                <w:color w:val="auto"/>
              </w:rPr>
            </w:pPr>
            <w:r>
              <w:rPr>
                <w:rFonts w:ascii="Arial" w:cs="Arial" w:eastAsia="Arial" w:hAnsi="Arial"/>
                <w:sz w:val="13"/>
                <w:szCs w:val="13"/>
                <w:b w:val="1"/>
                <w:bCs w:val="1"/>
                <w:color w:val="auto"/>
              </w:rPr>
              <w:t>Three Months Ended</w:t>
            </w:r>
          </w:p>
        </w:tc>
        <w:tc>
          <w:tcPr>
            <w:tcW w:w="0" w:type="dxa"/>
            <w:vAlign w:val="bottom"/>
          </w:tcPr>
          <w:p>
            <w:pPr>
              <w:spacing w:after="0"/>
              <w:rPr>
                <w:sz w:val="1"/>
                <w:szCs w:val="1"/>
                <w:color w:val="auto"/>
              </w:rPr>
            </w:pPr>
          </w:p>
        </w:tc>
      </w:tr>
      <w:tr>
        <w:trPr>
          <w:trHeight w:val="360"/>
        </w:trPr>
        <w:tc>
          <w:tcPr>
            <w:tcW w:w="114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640" w:type="dxa"/>
            <w:vAlign w:val="bottom"/>
            <w:gridSpan w:val="3"/>
            <w:vMerge w:val="continue"/>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720" w:type="dxa"/>
            <w:vAlign w:val="bottom"/>
            <w:gridSpan w:val="5"/>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240" w:type="dxa"/>
            <w:vAlign w:val="bottom"/>
            <w:tcBorders>
              <w:bottom w:val="single" w:sz="8" w:color="auto"/>
            </w:tcBorders>
            <w:gridSpan w:val="3"/>
          </w:tcPr>
          <w:p>
            <w:pPr>
              <w:ind w:left="20"/>
              <w:spacing w:after="0"/>
              <w:rPr>
                <w:sz w:val="20"/>
                <w:szCs w:val="20"/>
                <w:color w:val="auto"/>
              </w:rPr>
            </w:pPr>
            <w:r>
              <w:rPr>
                <w:rFonts w:ascii="Arial" w:cs="Arial" w:eastAsia="Arial" w:hAnsi="Arial"/>
                <w:sz w:val="13"/>
                <w:szCs w:val="13"/>
                <w:b w:val="1"/>
                <w:bCs w:val="1"/>
                <w:color w:val="auto"/>
                <w:w w:val="97"/>
              </w:rPr>
              <w:t>(thousands of United States dollars, except as noted)</w:t>
            </w:r>
          </w:p>
        </w:tc>
        <w:tc>
          <w:tcPr>
            <w:tcW w:w="1100" w:type="dxa"/>
            <w:vAlign w:val="bottom"/>
            <w:gridSpan w:val="3"/>
          </w:tcPr>
          <w:p>
            <w:pPr>
              <w:spacing w:after="0"/>
              <w:rPr>
                <w:sz w:val="13"/>
                <w:szCs w:val="13"/>
                <w:color w:val="auto"/>
              </w:rPr>
            </w:pPr>
          </w:p>
        </w:tc>
        <w:tc>
          <w:tcPr>
            <w:tcW w:w="1200" w:type="dxa"/>
            <w:vAlign w:val="bottom"/>
          </w:tcPr>
          <w:p>
            <w:pPr>
              <w:spacing w:after="0"/>
              <w:rPr>
                <w:sz w:val="13"/>
                <w:szCs w:val="13"/>
                <w:color w:val="auto"/>
              </w:rPr>
            </w:pPr>
          </w:p>
        </w:tc>
        <w:tc>
          <w:tcPr>
            <w:tcW w:w="1640" w:type="dxa"/>
            <w:vAlign w:val="bottom"/>
            <w:tcBorders>
              <w:bottom w:val="single" w:sz="8" w:color="auto"/>
            </w:tcBorders>
            <w:gridSpan w:val="3"/>
          </w:tcPr>
          <w:p>
            <w:pPr>
              <w:jc w:val="right"/>
              <w:ind w:right="299"/>
              <w:spacing w:after="0"/>
              <w:rPr>
                <w:sz w:val="20"/>
                <w:szCs w:val="20"/>
                <w:color w:val="auto"/>
              </w:rPr>
            </w:pPr>
            <w:r>
              <w:rPr>
                <w:rFonts w:ascii="Arial" w:cs="Arial" w:eastAsia="Arial" w:hAnsi="Arial"/>
                <w:sz w:val="13"/>
                <w:szCs w:val="13"/>
                <w:b w:val="1"/>
                <w:bCs w:val="1"/>
                <w:color w:val="auto"/>
              </w:rPr>
              <w:t>March 31,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298"/>
              <w:spacing w:after="0"/>
              <w:rPr>
                <w:sz w:val="20"/>
                <w:szCs w:val="20"/>
                <w:color w:val="auto"/>
              </w:rPr>
            </w:pPr>
            <w:r>
              <w:rPr>
                <w:rFonts w:ascii="Arial" w:cs="Arial" w:eastAsia="Arial" w:hAnsi="Arial"/>
                <w:sz w:val="13"/>
                <w:szCs w:val="13"/>
                <w:b w:val="1"/>
                <w:bCs w:val="1"/>
                <w:color w:val="auto"/>
                <w:w w:val="95"/>
              </w:rPr>
              <w:t>March 31, 2015</w:t>
            </w:r>
          </w:p>
        </w:tc>
        <w:tc>
          <w:tcPr>
            <w:tcW w:w="130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Production costs</w:t>
            </w:r>
          </w:p>
        </w:tc>
        <w:tc>
          <w:tcPr>
            <w:tcW w:w="1720" w:type="dxa"/>
            <w:vAlign w:val="bottom"/>
            <w:gridSpan w:val="2"/>
            <w:shd w:val="clear" w:color="auto" w:fill="CCEEFF"/>
          </w:tcPr>
          <w:p>
            <w:pPr>
              <w:jc w:val="right"/>
              <w:ind w:right="83"/>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45,854</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45,865</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4340" w:type="dxa"/>
            <w:vAlign w:val="bottom"/>
            <w:gridSpan w:val="6"/>
          </w:tcPr>
          <w:p>
            <w:pPr>
              <w:ind w:left="20"/>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w:t>
            </w:r>
          </w:p>
        </w:tc>
        <w:tc>
          <w:tcPr>
            <w:tcW w:w="12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180" w:type="dxa"/>
            <w:vAlign w:val="bottom"/>
            <w:gridSpan w:val="2"/>
          </w:tcPr>
          <w:p>
            <w:pPr>
              <w:jc w:val="right"/>
              <w:ind w:right="15"/>
              <w:spacing w:after="0"/>
              <w:rPr>
                <w:sz w:val="20"/>
                <w:szCs w:val="20"/>
                <w:color w:val="auto"/>
              </w:rPr>
            </w:pPr>
            <w:r>
              <w:rPr>
                <w:rFonts w:ascii="Arial" w:cs="Arial" w:eastAsia="Arial" w:hAnsi="Arial"/>
                <w:sz w:val="17"/>
                <w:szCs w:val="17"/>
                <w:color w:val="auto"/>
              </w:rPr>
              <w:t>(2,357)</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866</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Minesite operating costs</w:t>
            </w:r>
          </w:p>
        </w:tc>
        <w:tc>
          <w:tcPr>
            <w:tcW w:w="1200" w:type="dxa"/>
            <w:vAlign w:val="bottom"/>
            <w:shd w:val="clear" w:color="auto" w:fill="CCEEFF"/>
          </w:tcPr>
          <w:p>
            <w:pPr>
              <w:spacing w:after="0"/>
              <w:rPr>
                <w:sz w:val="17"/>
                <w:szCs w:val="17"/>
                <w:color w:val="auto"/>
              </w:rPr>
            </w:pPr>
          </w:p>
        </w:tc>
        <w:tc>
          <w:tcPr>
            <w:tcW w:w="520" w:type="dxa"/>
            <w:vAlign w:val="bottom"/>
            <w:tcBorders>
              <w:top w:val="single" w:sz="8" w:color="auto"/>
            </w:tcBorders>
            <w:shd w:val="clear" w:color="auto" w:fill="CCEEFF"/>
          </w:tcPr>
          <w:p>
            <w:pPr>
              <w:jc w:val="right"/>
              <w:ind w:right="83"/>
              <w:spacing w:after="0"/>
              <w:rPr>
                <w:sz w:val="20"/>
                <w:szCs w:val="20"/>
                <w:color w:val="auto"/>
              </w:rPr>
            </w:pPr>
            <w:r>
              <w:rPr>
                <w:rFonts w:ascii="Arial" w:cs="Arial" w:eastAsia="Arial" w:hAnsi="Arial"/>
                <w:sz w:val="17"/>
                <w:szCs w:val="17"/>
                <w:color w:val="auto"/>
              </w:rPr>
              <w:t>$</w:t>
            </w:r>
          </w:p>
        </w:tc>
        <w:tc>
          <w:tcPr>
            <w:tcW w:w="100" w:type="dxa"/>
            <w:vAlign w:val="bottom"/>
            <w:tcBorders>
              <w:top w:val="single" w:sz="8" w:color="auto"/>
            </w:tcBorders>
            <w:shd w:val="clear" w:color="auto" w:fill="CCEEFF"/>
          </w:tcPr>
          <w:p>
            <w:pPr>
              <w:spacing w:after="0"/>
              <w:rPr>
                <w:sz w:val="17"/>
                <w:szCs w:val="17"/>
                <w:color w:val="auto"/>
              </w:rPr>
            </w:pP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43,497</w:t>
            </w:r>
          </w:p>
        </w:tc>
        <w:tc>
          <w:tcPr>
            <w:tcW w:w="16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46,731</w:t>
            </w:r>
          </w:p>
        </w:tc>
        <w:tc>
          <w:tcPr>
            <w:tcW w:w="140" w:type="dxa"/>
            <w:vAlign w:val="bottom"/>
            <w:shd w:val="clear" w:color="auto" w:fill="CCEEFF"/>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340" w:type="dxa"/>
            <w:vAlign w:val="bottom"/>
            <w:gridSpan w:val="6"/>
          </w:tcPr>
          <w:p>
            <w:pPr>
              <w:ind w:left="20"/>
              <w:spacing w:after="0"/>
              <w:rPr>
                <w:sz w:val="20"/>
                <w:szCs w:val="20"/>
                <w:color w:val="auto"/>
              </w:rPr>
            </w:pPr>
            <w:r>
              <w:rPr>
                <w:rFonts w:ascii="Arial" w:cs="Arial" w:eastAsia="Arial" w:hAnsi="Arial"/>
                <w:sz w:val="17"/>
                <w:szCs w:val="17"/>
                <w:color w:val="auto"/>
              </w:rPr>
              <w:t>Minesite operating costs (thousands of C$)</w:t>
            </w:r>
          </w:p>
        </w:tc>
        <w:tc>
          <w:tcPr>
            <w:tcW w:w="1200" w:type="dxa"/>
            <w:vAlign w:val="bottom"/>
          </w:tcPr>
          <w:p>
            <w:pPr>
              <w:spacing w:after="0"/>
              <w:rPr>
                <w:sz w:val="18"/>
                <w:szCs w:val="18"/>
                <w:color w:val="auto"/>
              </w:rPr>
            </w:pPr>
          </w:p>
        </w:tc>
        <w:tc>
          <w:tcPr>
            <w:tcW w:w="620" w:type="dxa"/>
            <w:vAlign w:val="bottom"/>
            <w:gridSpan w:val="2"/>
          </w:tcPr>
          <w:p>
            <w:pPr>
              <w:jc w:val="right"/>
              <w:ind w:right="335"/>
              <w:spacing w:after="0"/>
              <w:rPr>
                <w:sz w:val="20"/>
                <w:szCs w:val="20"/>
                <w:color w:val="auto"/>
              </w:rPr>
            </w:pPr>
            <w:r>
              <w:rPr>
                <w:rFonts w:ascii="Arial" w:cs="Arial" w:eastAsia="Arial" w:hAnsi="Arial"/>
                <w:sz w:val="17"/>
                <w:szCs w:val="17"/>
                <w:color w:val="auto"/>
                <w:w w:val="82"/>
              </w:rPr>
              <w:t>C$</w:t>
            </w:r>
          </w:p>
        </w:tc>
        <w:tc>
          <w:tcPr>
            <w:tcW w:w="1020" w:type="dxa"/>
            <w:vAlign w:val="bottom"/>
          </w:tcPr>
          <w:p>
            <w:pPr>
              <w:jc w:val="right"/>
              <w:spacing w:after="0"/>
              <w:rPr>
                <w:sz w:val="20"/>
                <w:szCs w:val="20"/>
                <w:color w:val="auto"/>
              </w:rPr>
            </w:pPr>
            <w:r>
              <w:rPr>
                <w:rFonts w:ascii="Arial" w:cs="Arial" w:eastAsia="Arial" w:hAnsi="Arial"/>
                <w:sz w:val="17"/>
                <w:szCs w:val="17"/>
                <w:color w:val="auto"/>
              </w:rPr>
              <w:t>59,228</w:t>
            </w:r>
          </w:p>
        </w:tc>
        <w:tc>
          <w:tcPr>
            <w:tcW w:w="160" w:type="dxa"/>
            <w:vAlign w:val="bottom"/>
          </w:tcPr>
          <w:p>
            <w:pPr>
              <w:spacing w:after="0"/>
              <w:rPr>
                <w:sz w:val="18"/>
                <w:szCs w:val="18"/>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7"/>
                <w:szCs w:val="17"/>
                <w:color w:val="auto"/>
                <w:w w:val="82"/>
              </w:rPr>
              <w:t>C$</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57,789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3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Tonnes of ore milled (thousands of tonnes)</w:t>
            </w:r>
          </w:p>
        </w:tc>
        <w:tc>
          <w:tcPr>
            <w:tcW w:w="12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577</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558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340" w:type="dxa"/>
            <w:vAlign w:val="bottom"/>
            <w:gridSpan w:val="6"/>
            <w:vMerge w:val="restart"/>
          </w:tcPr>
          <w:p>
            <w:pPr>
              <w:ind w:left="20"/>
              <w:spacing w:after="0" w:line="314" w:lineRule="exact"/>
              <w:rPr>
                <w:sz w:val="20"/>
                <w:szCs w:val="20"/>
                <w:color w:val="auto"/>
              </w:rPr>
            </w:pPr>
            <w:r>
              <w:rPr>
                <w:rFonts w:ascii="Arial" w:cs="Arial" w:eastAsia="Arial" w:hAnsi="Arial"/>
                <w:sz w:val="17"/>
                <w:szCs w:val="17"/>
                <w:color w:val="auto"/>
              </w:rPr>
              <w:t>Minesite costs per tonne (C$)</w:t>
            </w:r>
            <w:r>
              <w:rPr>
                <w:rFonts w:ascii="Arial" w:cs="Arial" w:eastAsia="Arial" w:hAnsi="Arial"/>
                <w:sz w:val="28"/>
                <w:szCs w:val="28"/>
                <w:color w:val="auto"/>
                <w:vertAlign w:val="superscript"/>
              </w:rPr>
              <w:t>(iii)</w:t>
            </w:r>
          </w:p>
        </w:tc>
        <w:tc>
          <w:tcPr>
            <w:tcW w:w="1200" w:type="dxa"/>
            <w:vAlign w:val="bottom"/>
          </w:tcPr>
          <w:p>
            <w:pPr>
              <w:spacing w:after="0"/>
              <w:rPr>
                <w:sz w:val="2"/>
                <w:szCs w:val="2"/>
                <w:color w:val="auto"/>
              </w:rPr>
            </w:pPr>
          </w:p>
        </w:tc>
        <w:tc>
          <w:tcPr>
            <w:tcW w:w="620" w:type="dxa"/>
            <w:vAlign w:val="bottom"/>
            <w:tcBorders>
              <w:bottom w:val="single" w:sz="8" w:color="auto"/>
            </w:tcBorders>
            <w:gridSpan w:val="2"/>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Borders>
              <w:bottom w:val="single" w:sz="8" w:color="auto"/>
            </w:tcBorders>
            <w:gridSpan w:val="2"/>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1140" w:type="dxa"/>
            <w:vAlign w:val="bottom"/>
          </w:tcPr>
          <w:p>
            <w:pPr>
              <w:spacing w:after="0"/>
              <w:rPr>
                <w:sz w:val="23"/>
                <w:szCs w:val="23"/>
                <w:color w:val="auto"/>
              </w:rPr>
            </w:pPr>
          </w:p>
        </w:tc>
        <w:tc>
          <w:tcPr>
            <w:tcW w:w="4340" w:type="dxa"/>
            <w:vAlign w:val="bottom"/>
            <w:gridSpan w:val="6"/>
            <w:vMerge w:val="continue"/>
          </w:tcPr>
          <w:p>
            <w:pPr>
              <w:spacing w:after="0"/>
              <w:rPr>
                <w:sz w:val="23"/>
                <w:szCs w:val="23"/>
                <w:color w:val="auto"/>
              </w:rPr>
            </w:pPr>
          </w:p>
        </w:tc>
        <w:tc>
          <w:tcPr>
            <w:tcW w:w="1200" w:type="dxa"/>
            <w:vAlign w:val="bottom"/>
          </w:tcPr>
          <w:p>
            <w:pPr>
              <w:spacing w:after="0"/>
              <w:rPr>
                <w:sz w:val="23"/>
                <w:szCs w:val="23"/>
                <w:color w:val="auto"/>
              </w:rPr>
            </w:pPr>
          </w:p>
        </w:tc>
        <w:tc>
          <w:tcPr>
            <w:tcW w:w="620" w:type="dxa"/>
            <w:vAlign w:val="bottom"/>
            <w:gridSpan w:val="2"/>
          </w:tcPr>
          <w:p>
            <w:pPr>
              <w:jc w:val="right"/>
              <w:ind w:right="335"/>
              <w:spacing w:after="0"/>
              <w:rPr>
                <w:sz w:val="20"/>
                <w:szCs w:val="20"/>
                <w:color w:val="auto"/>
              </w:rPr>
            </w:pPr>
            <w:r>
              <w:rPr>
                <w:rFonts w:ascii="Arial" w:cs="Arial" w:eastAsia="Arial" w:hAnsi="Arial"/>
                <w:sz w:val="17"/>
                <w:szCs w:val="17"/>
                <w:color w:val="auto"/>
                <w:w w:val="82"/>
              </w:rPr>
              <w:t>C$</w:t>
            </w:r>
          </w:p>
        </w:tc>
        <w:tc>
          <w:tcPr>
            <w:tcW w:w="1020" w:type="dxa"/>
            <w:vAlign w:val="bottom"/>
          </w:tcPr>
          <w:p>
            <w:pPr>
              <w:jc w:val="right"/>
              <w:spacing w:after="0"/>
              <w:rPr>
                <w:sz w:val="20"/>
                <w:szCs w:val="20"/>
                <w:color w:val="auto"/>
              </w:rPr>
            </w:pPr>
            <w:r>
              <w:rPr>
                <w:rFonts w:ascii="Arial" w:cs="Arial" w:eastAsia="Arial" w:hAnsi="Arial"/>
                <w:sz w:val="17"/>
                <w:szCs w:val="17"/>
                <w:color w:val="auto"/>
              </w:rPr>
              <w:t>103</w:t>
            </w:r>
          </w:p>
        </w:tc>
        <w:tc>
          <w:tcPr>
            <w:tcW w:w="160" w:type="dxa"/>
            <w:vAlign w:val="bottom"/>
          </w:tcPr>
          <w:p>
            <w:pPr>
              <w:spacing w:after="0"/>
              <w:rPr>
                <w:sz w:val="23"/>
                <w:szCs w:val="23"/>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7"/>
                <w:szCs w:val="17"/>
                <w:color w:val="auto"/>
                <w:w w:val="82"/>
              </w:rPr>
              <w:t>C$</w:t>
            </w:r>
          </w:p>
        </w:tc>
        <w:tc>
          <w:tcPr>
            <w:tcW w:w="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104</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4420" w:type="dxa"/>
            <w:vAlign w:val="bottom"/>
            <w:gridSpan w:val="5"/>
            <w:vMerge w:val="restart"/>
          </w:tcPr>
          <w:p>
            <w:pPr>
              <w:spacing w:after="0"/>
              <w:rPr>
                <w:sz w:val="20"/>
                <w:szCs w:val="20"/>
                <w:color w:val="auto"/>
              </w:rPr>
            </w:pPr>
            <w:r>
              <w:rPr>
                <w:rFonts w:ascii="Arial" w:cs="Arial" w:eastAsia="Arial" w:hAnsi="Arial"/>
                <w:sz w:val="17"/>
                <w:szCs w:val="17"/>
                <w:b w:val="1"/>
                <w:bCs w:val="1"/>
                <w:color w:val="auto"/>
                <w:w w:val="90"/>
              </w:rPr>
              <w:t>Lapa Mine — Total Cash Costs per Ounce of Gold Produced</w:t>
            </w:r>
          </w:p>
        </w:tc>
        <w:tc>
          <w:tcPr>
            <w:tcW w:w="160" w:type="dxa"/>
            <w:vAlign w:val="bottom"/>
            <w:vMerge w:val="restart"/>
          </w:tcPr>
          <w:p>
            <w:pPr>
              <w:spacing w:after="0"/>
              <w:rPr>
                <w:sz w:val="20"/>
                <w:szCs w:val="20"/>
                <w:color w:val="auto"/>
              </w:rPr>
            </w:pPr>
            <w:r>
              <w:rPr>
                <w:rFonts w:ascii="Arial" w:cs="Arial" w:eastAsia="Arial" w:hAnsi="Arial"/>
                <w:sz w:val="14"/>
                <w:szCs w:val="14"/>
                <w:b w:val="1"/>
                <w:bCs w:val="1"/>
                <w:color w:val="auto"/>
                <w:w w:val="81"/>
              </w:rPr>
              <w:t>(ii)</w:t>
            </w:r>
          </w:p>
        </w:tc>
        <w:tc>
          <w:tcPr>
            <w:tcW w:w="90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4420" w:type="dxa"/>
            <w:vAlign w:val="bottom"/>
            <w:gridSpan w:val="5"/>
            <w:vMerge w:val="continue"/>
          </w:tcPr>
          <w:p>
            <w:pPr>
              <w:spacing w:after="0"/>
              <w:rPr>
                <w:sz w:val="24"/>
                <w:szCs w:val="24"/>
                <w:color w:val="auto"/>
              </w:rPr>
            </w:pPr>
          </w:p>
        </w:tc>
        <w:tc>
          <w:tcPr>
            <w:tcW w:w="160" w:type="dxa"/>
            <w:vAlign w:val="bottom"/>
            <w:tcBorders>
              <w:bottom w:val="single" w:sz="8" w:color="auto"/>
            </w:tcBorders>
            <w:vMerge w:val="continue"/>
          </w:tcPr>
          <w:p>
            <w:pPr>
              <w:spacing w:after="0"/>
              <w:rPr>
                <w:sz w:val="24"/>
                <w:szCs w:val="24"/>
                <w:color w:val="auto"/>
              </w:rPr>
            </w:pPr>
          </w:p>
        </w:tc>
        <w:tc>
          <w:tcPr>
            <w:tcW w:w="900" w:type="dxa"/>
            <w:vAlign w:val="bottom"/>
            <w:vMerge w:val="restart"/>
          </w:tcPr>
          <w:p>
            <w:pPr>
              <w:spacing w:after="0"/>
              <w:rPr>
                <w:sz w:val="24"/>
                <w:szCs w:val="24"/>
                <w:color w:val="auto"/>
              </w:rPr>
            </w:pPr>
          </w:p>
        </w:tc>
        <w:tc>
          <w:tcPr>
            <w:tcW w:w="1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4420" w:type="dxa"/>
            <w:vAlign w:val="bottom"/>
            <w:tcBorders>
              <w:bottom w:val="single" w:sz="8" w:color="auto"/>
            </w:tcBorders>
            <w:gridSpan w:val="5"/>
            <w:vMerge w:val="continue"/>
          </w:tcPr>
          <w:p>
            <w:pPr>
              <w:spacing w:after="0"/>
              <w:rPr>
                <w:sz w:val="3"/>
                <w:szCs w:val="3"/>
                <w:color w:val="auto"/>
              </w:rPr>
            </w:pPr>
          </w:p>
        </w:tc>
        <w:tc>
          <w:tcPr>
            <w:tcW w:w="160" w:type="dxa"/>
            <w:vAlign w:val="bottom"/>
          </w:tcPr>
          <w:p>
            <w:pPr>
              <w:spacing w:after="0"/>
              <w:rPr>
                <w:sz w:val="3"/>
                <w:szCs w:val="3"/>
                <w:color w:val="auto"/>
              </w:rPr>
            </w:pPr>
          </w:p>
        </w:tc>
        <w:tc>
          <w:tcPr>
            <w:tcW w:w="900" w:type="dxa"/>
            <w:vAlign w:val="bottom"/>
            <w:vMerge w:val="continue"/>
          </w:tcPr>
          <w:p>
            <w:pPr>
              <w:spacing w:after="0"/>
              <w:rPr>
                <w:sz w:val="3"/>
                <w:szCs w:val="3"/>
                <w:color w:val="auto"/>
              </w:rPr>
            </w:pPr>
          </w:p>
        </w:tc>
        <w:tc>
          <w:tcPr>
            <w:tcW w:w="1200" w:type="dxa"/>
            <w:vAlign w:val="bottom"/>
          </w:tcPr>
          <w:p>
            <w:pPr>
              <w:spacing w:after="0"/>
              <w:rPr>
                <w:sz w:val="3"/>
                <w:szCs w:val="3"/>
                <w:color w:val="auto"/>
              </w:rPr>
            </w:pPr>
          </w:p>
        </w:tc>
        <w:tc>
          <w:tcPr>
            <w:tcW w:w="5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400" w:type="dxa"/>
            <w:vAlign w:val="bottom"/>
            <w:gridSpan w:val="4"/>
            <w:vMerge w:val="restart"/>
          </w:tcPr>
          <w:p>
            <w:pPr>
              <w:jc w:val="center"/>
              <w:ind w:right="200"/>
              <w:spacing w:after="0"/>
              <w:rPr>
                <w:sz w:val="20"/>
                <w:szCs w:val="20"/>
                <w:color w:val="auto"/>
              </w:rPr>
            </w:pPr>
            <w:r>
              <w:rPr>
                <w:rFonts w:ascii="Arial" w:cs="Arial" w:eastAsia="Arial" w:hAnsi="Arial"/>
                <w:sz w:val="13"/>
                <w:szCs w:val="13"/>
                <w:b w:val="1"/>
                <w:bCs w:val="1"/>
                <w:color w:val="auto"/>
                <w:w w:val="93"/>
              </w:rPr>
              <w:t>Three Months Ended</w:t>
            </w: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580" w:type="dxa"/>
            <w:vAlign w:val="bottom"/>
            <w:gridSpan w:val="3"/>
            <w:vMerge w:val="restart"/>
          </w:tcPr>
          <w:p>
            <w:pPr>
              <w:jc w:val="center"/>
              <w:ind w:right="1400"/>
              <w:spacing w:after="0"/>
              <w:rPr>
                <w:sz w:val="20"/>
                <w:szCs w:val="20"/>
                <w:color w:val="auto"/>
              </w:rPr>
            </w:pPr>
            <w:r>
              <w:rPr>
                <w:rFonts w:ascii="Arial" w:cs="Arial" w:eastAsia="Arial" w:hAnsi="Arial"/>
                <w:sz w:val="13"/>
                <w:szCs w:val="13"/>
                <w:b w:val="1"/>
                <w:bCs w:val="1"/>
                <w:color w:val="auto"/>
                <w:w w:val="91"/>
              </w:rPr>
              <w:t>Three Months Ended</w:t>
            </w:r>
          </w:p>
        </w:tc>
        <w:tc>
          <w:tcPr>
            <w:tcW w:w="0" w:type="dxa"/>
            <w:vAlign w:val="bottom"/>
          </w:tcPr>
          <w:p>
            <w:pPr>
              <w:spacing w:after="0"/>
              <w:rPr>
                <w:sz w:val="1"/>
                <w:szCs w:val="1"/>
                <w:color w:val="auto"/>
              </w:rPr>
            </w:pPr>
          </w:p>
        </w:tc>
      </w:tr>
      <w:tr>
        <w:trPr>
          <w:trHeight w:val="360"/>
        </w:trPr>
        <w:tc>
          <w:tcPr>
            <w:tcW w:w="114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0" w:type="dxa"/>
            <w:vAlign w:val="bottom"/>
            <w:gridSpan w:val="4"/>
            <w:vMerge w:val="continue"/>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580" w:type="dxa"/>
            <w:vAlign w:val="bottom"/>
            <w:gridSpan w:val="3"/>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240" w:type="dxa"/>
            <w:vAlign w:val="bottom"/>
            <w:tcBorders>
              <w:bottom w:val="single" w:sz="8" w:color="auto"/>
            </w:tcBorders>
            <w:gridSpan w:val="3"/>
          </w:tcPr>
          <w:p>
            <w:pPr>
              <w:ind w:left="20"/>
              <w:spacing w:after="0"/>
              <w:rPr>
                <w:sz w:val="20"/>
                <w:szCs w:val="20"/>
                <w:color w:val="auto"/>
              </w:rPr>
            </w:pPr>
            <w:r>
              <w:rPr>
                <w:rFonts w:ascii="Arial" w:cs="Arial" w:eastAsia="Arial" w:hAnsi="Arial"/>
                <w:sz w:val="13"/>
                <w:szCs w:val="13"/>
                <w:b w:val="1"/>
                <w:bCs w:val="1"/>
                <w:color w:val="auto"/>
                <w:w w:val="97"/>
              </w:rPr>
              <w:t>(thousands of United States dollars, except as noted)</w:t>
            </w:r>
          </w:p>
        </w:tc>
        <w:tc>
          <w:tcPr>
            <w:tcW w:w="1100" w:type="dxa"/>
            <w:vAlign w:val="bottom"/>
            <w:gridSpan w:val="3"/>
          </w:tcPr>
          <w:p>
            <w:pPr>
              <w:spacing w:after="0"/>
              <w:rPr>
                <w:sz w:val="13"/>
                <w:szCs w:val="13"/>
                <w:color w:val="auto"/>
              </w:rPr>
            </w:pPr>
          </w:p>
        </w:tc>
        <w:tc>
          <w:tcPr>
            <w:tcW w:w="12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center"/>
              <w:ind w:left="79"/>
              <w:spacing w:after="0"/>
              <w:rPr>
                <w:sz w:val="20"/>
                <w:szCs w:val="20"/>
                <w:color w:val="auto"/>
              </w:rPr>
            </w:pPr>
            <w:r>
              <w:rPr>
                <w:rFonts w:ascii="Arial" w:cs="Arial" w:eastAsia="Arial" w:hAnsi="Arial"/>
                <w:sz w:val="13"/>
                <w:szCs w:val="13"/>
                <w:b w:val="1"/>
                <w:bCs w:val="1"/>
                <w:color w:val="auto"/>
                <w:w w:val="92"/>
              </w:rPr>
              <w:t>March 31, 2016</w:t>
            </w:r>
          </w:p>
        </w:tc>
        <w:tc>
          <w:tcPr>
            <w:tcW w:w="16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ind w:right="18"/>
              <w:spacing w:after="0"/>
              <w:rPr>
                <w:sz w:val="20"/>
                <w:szCs w:val="20"/>
                <w:color w:val="auto"/>
              </w:rPr>
            </w:pPr>
            <w:r>
              <w:rPr>
                <w:rFonts w:ascii="Arial" w:cs="Arial" w:eastAsia="Arial" w:hAnsi="Arial"/>
                <w:sz w:val="13"/>
                <w:szCs w:val="13"/>
                <w:b w:val="1"/>
                <w:bCs w:val="1"/>
                <w:color w:val="auto"/>
                <w:w w:val="92"/>
              </w:rPr>
              <w:t>March 31, 2015</w:t>
            </w:r>
          </w:p>
        </w:tc>
        <w:tc>
          <w:tcPr>
            <w:tcW w:w="130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Production costs</w:t>
            </w:r>
          </w:p>
        </w:tc>
        <w:tc>
          <w:tcPr>
            <w:tcW w:w="182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0" w:type="dxa"/>
            <w:vAlign w:val="bottom"/>
            <w:gridSpan w:val="4"/>
            <w:shd w:val="clear" w:color="auto" w:fill="CCEEFF"/>
          </w:tcPr>
          <w:p>
            <w:pPr>
              <w:jc w:val="right"/>
              <w:ind w:right="120"/>
              <w:spacing w:after="0"/>
              <w:rPr>
                <w:sz w:val="20"/>
                <w:szCs w:val="20"/>
                <w:color w:val="auto"/>
              </w:rPr>
            </w:pPr>
            <w:r>
              <w:rPr>
                <w:rFonts w:ascii="Arial" w:cs="Arial" w:eastAsia="Arial" w:hAnsi="Arial"/>
                <w:sz w:val="17"/>
                <w:szCs w:val="17"/>
                <w:color w:val="auto"/>
              </w:rPr>
              <w:t>12,784</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13,985</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340" w:type="dxa"/>
            <w:vAlign w:val="bottom"/>
            <w:gridSpan w:val="6"/>
          </w:tcPr>
          <w:p>
            <w:pPr>
              <w:ind w:left="20"/>
              <w:spacing w:after="0"/>
              <w:rPr>
                <w:sz w:val="20"/>
                <w:szCs w:val="20"/>
                <w:color w:val="auto"/>
              </w:rPr>
            </w:pPr>
            <w:r>
              <w:rPr>
                <w:rFonts w:ascii="Arial" w:cs="Arial" w:eastAsia="Arial" w:hAnsi="Arial"/>
                <w:sz w:val="17"/>
                <w:szCs w:val="17"/>
                <w:color w:val="auto"/>
              </w:rPr>
              <w:t>Adjustments:</w:t>
            </w:r>
          </w:p>
        </w:tc>
        <w:tc>
          <w:tcPr>
            <w:tcW w:w="1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4340" w:type="dxa"/>
            <w:vAlign w:val="bottom"/>
            <w:gridSpan w:val="6"/>
            <w:shd w:val="clear" w:color="auto" w:fill="CCEEFF"/>
          </w:tcPr>
          <w:p>
            <w:pPr>
              <w:ind w:left="360"/>
              <w:spacing w:after="0" w:line="249"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(iv)</w:t>
            </w:r>
          </w:p>
        </w:tc>
        <w:tc>
          <w:tcPr>
            <w:tcW w:w="1200" w:type="dxa"/>
            <w:vAlign w:val="bottom"/>
            <w:shd w:val="clear" w:color="auto" w:fill="CCEEFF"/>
          </w:tcPr>
          <w:p>
            <w:pPr>
              <w:spacing w:after="0"/>
              <w:rPr>
                <w:sz w:val="21"/>
                <w:szCs w:val="21"/>
                <w:color w:val="auto"/>
              </w:rPr>
            </w:pPr>
          </w:p>
        </w:tc>
        <w:tc>
          <w:tcPr>
            <w:tcW w:w="5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00" w:type="dxa"/>
            <w:vAlign w:val="bottom"/>
            <w:gridSpan w:val="4"/>
            <w:shd w:val="clear" w:color="auto" w:fill="CCEEFF"/>
          </w:tcPr>
          <w:p>
            <w:pPr>
              <w:jc w:val="right"/>
              <w:ind w:right="120"/>
              <w:spacing w:after="0"/>
              <w:rPr>
                <w:sz w:val="20"/>
                <w:szCs w:val="20"/>
                <w:color w:val="auto"/>
              </w:rPr>
            </w:pPr>
            <w:r>
              <w:rPr>
                <w:rFonts w:ascii="Arial" w:cs="Arial" w:eastAsia="Arial" w:hAnsi="Arial"/>
                <w:sz w:val="17"/>
                <w:szCs w:val="17"/>
                <w:color w:val="auto"/>
              </w:rPr>
              <w:t>1,727</w:t>
            </w:r>
          </w:p>
        </w:tc>
        <w:tc>
          <w:tcPr>
            <w:tcW w:w="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749</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340" w:type="dxa"/>
            <w:vAlign w:val="bottom"/>
            <w:gridSpan w:val="6"/>
            <w:vMerge w:val="restart"/>
          </w:tcPr>
          <w:p>
            <w:pPr>
              <w:ind w:left="20"/>
              <w:spacing w:after="0"/>
              <w:rPr>
                <w:sz w:val="20"/>
                <w:szCs w:val="20"/>
                <w:color w:val="auto"/>
              </w:rPr>
            </w:pPr>
            <w:r>
              <w:rPr>
                <w:rFonts w:ascii="Arial" w:cs="Arial" w:eastAsia="Arial" w:hAnsi="Arial"/>
                <w:sz w:val="17"/>
                <w:szCs w:val="17"/>
                <w:color w:val="auto"/>
              </w:rPr>
              <w:t>Cash operating costs (co-product basis)</w:t>
            </w:r>
          </w:p>
        </w:tc>
        <w:tc>
          <w:tcPr>
            <w:tcW w:w="1820" w:type="dxa"/>
            <w:vAlign w:val="bottom"/>
            <w:gridSpan w:val="3"/>
          </w:tcPr>
          <w:p>
            <w:pPr>
              <w:spacing w:after="0"/>
              <w:rPr>
                <w:sz w:val="2"/>
                <w:szCs w:val="2"/>
                <w:color w:val="auto"/>
              </w:rPr>
            </w:pPr>
          </w:p>
        </w:tc>
        <w:tc>
          <w:tcPr>
            <w:tcW w:w="1400" w:type="dxa"/>
            <w:vAlign w:val="bottom"/>
            <w:gridSpan w:val="4"/>
          </w:tcPr>
          <w:p>
            <w:pPr>
              <w:spacing w:after="0"/>
              <w:rPr>
                <w:sz w:val="2"/>
                <w:szCs w:val="2"/>
                <w:color w:val="auto"/>
              </w:rPr>
            </w:pPr>
          </w:p>
        </w:tc>
        <w:tc>
          <w:tcPr>
            <w:tcW w:w="140" w:type="dxa"/>
            <w:vAlign w:val="bottom"/>
            <w:gridSpan w:val="2"/>
          </w:tcPr>
          <w:p>
            <w:pPr>
              <w:spacing w:after="0"/>
              <w:rPr>
                <w:sz w:val="2"/>
                <w:szCs w:val="2"/>
                <w:color w:val="auto"/>
              </w:rPr>
            </w:pPr>
          </w:p>
        </w:tc>
        <w:tc>
          <w:tcPr>
            <w:tcW w:w="142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vMerge w:val="continue"/>
          </w:tcPr>
          <w:p>
            <w:pPr>
              <w:spacing w:after="0"/>
              <w:rPr>
                <w:sz w:val="17"/>
                <w:szCs w:val="17"/>
                <w:color w:val="auto"/>
              </w:rPr>
            </w:pPr>
          </w:p>
        </w:tc>
        <w:tc>
          <w:tcPr>
            <w:tcW w:w="1720" w:type="dxa"/>
            <w:vAlign w:val="bottom"/>
            <w:gridSpan w:val="2"/>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3"/>
          </w:tcPr>
          <w:p>
            <w:pPr>
              <w:jc w:val="right"/>
              <w:spacing w:after="0"/>
              <w:rPr>
                <w:sz w:val="20"/>
                <w:szCs w:val="20"/>
                <w:color w:val="auto"/>
              </w:rPr>
            </w:pPr>
            <w:r>
              <w:rPr>
                <w:rFonts w:ascii="Arial" w:cs="Arial" w:eastAsia="Arial" w:hAnsi="Arial"/>
                <w:sz w:val="17"/>
                <w:szCs w:val="17"/>
                <w:color w:val="auto"/>
              </w:rPr>
              <w:t>14,511</w:t>
            </w: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14,734</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340" w:type="dxa"/>
            <w:vAlign w:val="bottom"/>
            <w:gridSpan w:val="6"/>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12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380" w:type="dxa"/>
            <w:vAlign w:val="bottom"/>
            <w:gridSpan w:val="3"/>
            <w:shd w:val="clear" w:color="auto" w:fill="CCEEFF"/>
          </w:tcPr>
          <w:p>
            <w:pPr>
              <w:jc w:val="right"/>
              <w:ind w:right="60"/>
              <w:spacing w:after="0"/>
              <w:rPr>
                <w:sz w:val="20"/>
                <w:szCs w:val="20"/>
                <w:color w:val="auto"/>
              </w:rPr>
            </w:pPr>
            <w:r>
              <w:rPr>
                <w:rFonts w:ascii="Arial" w:cs="Arial" w:eastAsia="Arial" w:hAnsi="Arial"/>
                <w:sz w:val="17"/>
                <w:szCs w:val="17"/>
                <w:color w:val="auto"/>
                <w:w w:val="99"/>
              </w:rPr>
              <w:t>(13)</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340" w:type="dxa"/>
            <w:vAlign w:val="bottom"/>
            <w:gridSpan w:val="6"/>
            <w:vMerge w:val="restart"/>
          </w:tcPr>
          <w:p>
            <w:pPr>
              <w:ind w:left="20"/>
              <w:spacing w:after="0"/>
              <w:rPr>
                <w:sz w:val="20"/>
                <w:szCs w:val="20"/>
                <w:color w:val="auto"/>
              </w:rPr>
            </w:pPr>
            <w:r>
              <w:rPr>
                <w:rFonts w:ascii="Arial" w:cs="Arial" w:eastAsia="Arial" w:hAnsi="Arial"/>
                <w:sz w:val="17"/>
                <w:szCs w:val="17"/>
                <w:color w:val="auto"/>
              </w:rPr>
              <w:t>Cash operating costs (by-product basis)</w:t>
            </w:r>
          </w:p>
        </w:tc>
        <w:tc>
          <w:tcPr>
            <w:tcW w:w="1820" w:type="dxa"/>
            <w:vAlign w:val="bottom"/>
            <w:gridSpan w:val="3"/>
          </w:tcPr>
          <w:p>
            <w:pPr>
              <w:spacing w:after="0"/>
              <w:rPr>
                <w:sz w:val="2"/>
                <w:szCs w:val="2"/>
                <w:color w:val="auto"/>
              </w:rPr>
            </w:pPr>
          </w:p>
        </w:tc>
        <w:tc>
          <w:tcPr>
            <w:tcW w:w="1400" w:type="dxa"/>
            <w:vAlign w:val="bottom"/>
            <w:gridSpan w:val="4"/>
          </w:tcPr>
          <w:p>
            <w:pPr>
              <w:spacing w:after="0"/>
              <w:rPr>
                <w:sz w:val="2"/>
                <w:szCs w:val="2"/>
                <w:color w:val="auto"/>
              </w:rPr>
            </w:pPr>
          </w:p>
        </w:tc>
        <w:tc>
          <w:tcPr>
            <w:tcW w:w="140" w:type="dxa"/>
            <w:vAlign w:val="bottom"/>
            <w:gridSpan w:val="2"/>
          </w:tcPr>
          <w:p>
            <w:pPr>
              <w:spacing w:after="0"/>
              <w:rPr>
                <w:sz w:val="2"/>
                <w:szCs w:val="2"/>
                <w:color w:val="auto"/>
              </w:rPr>
            </w:pPr>
          </w:p>
        </w:tc>
        <w:tc>
          <w:tcPr>
            <w:tcW w:w="142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vMerge w:val="continue"/>
          </w:tcPr>
          <w:p>
            <w:pPr>
              <w:spacing w:after="0"/>
              <w:rPr>
                <w:sz w:val="17"/>
                <w:szCs w:val="17"/>
                <w:color w:val="auto"/>
              </w:rPr>
            </w:pPr>
          </w:p>
        </w:tc>
        <w:tc>
          <w:tcPr>
            <w:tcW w:w="1720" w:type="dxa"/>
            <w:vAlign w:val="bottom"/>
            <w:gridSpan w:val="2"/>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3"/>
          </w:tcPr>
          <w:p>
            <w:pPr>
              <w:jc w:val="right"/>
              <w:spacing w:after="0"/>
              <w:rPr>
                <w:sz w:val="20"/>
                <w:szCs w:val="20"/>
                <w:color w:val="auto"/>
              </w:rPr>
            </w:pPr>
            <w:r>
              <w:rPr>
                <w:rFonts w:ascii="Arial" w:cs="Arial" w:eastAsia="Arial" w:hAnsi="Arial"/>
                <w:sz w:val="17"/>
                <w:szCs w:val="17"/>
                <w:color w:val="auto"/>
              </w:rPr>
              <w:t>14,498</w:t>
            </w: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14,717</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3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Gold production (ounces)</w:t>
            </w:r>
          </w:p>
        </w:tc>
        <w:tc>
          <w:tcPr>
            <w:tcW w:w="12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0" w:type="dxa"/>
            <w:vAlign w:val="bottom"/>
            <w:gridSpan w:val="4"/>
            <w:shd w:val="clear" w:color="auto" w:fill="CCEEFF"/>
          </w:tcPr>
          <w:p>
            <w:pPr>
              <w:jc w:val="right"/>
              <w:ind w:right="120"/>
              <w:spacing w:after="0"/>
              <w:rPr>
                <w:sz w:val="20"/>
                <w:szCs w:val="20"/>
                <w:color w:val="auto"/>
              </w:rPr>
            </w:pPr>
            <w:r>
              <w:rPr>
                <w:rFonts w:ascii="Arial" w:cs="Arial" w:eastAsia="Arial" w:hAnsi="Arial"/>
                <w:sz w:val="17"/>
                <w:szCs w:val="17"/>
                <w:color w:val="auto"/>
              </w:rPr>
              <w:t>21,709</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25,920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4340" w:type="dxa"/>
            <w:vAlign w:val="bottom"/>
            <w:gridSpan w:val="6"/>
          </w:tcPr>
          <w:p>
            <w:pPr>
              <w:ind w:left="20"/>
              <w:spacing w:after="0" w:line="276" w:lineRule="exact"/>
              <w:rPr>
                <w:sz w:val="20"/>
                <w:szCs w:val="20"/>
                <w:color w:val="auto"/>
              </w:rPr>
            </w:pPr>
            <w:r>
              <w:rPr>
                <w:rFonts w:ascii="Arial" w:cs="Arial" w:eastAsia="Arial" w:hAnsi="Arial"/>
                <w:sz w:val="17"/>
                <w:szCs w:val="17"/>
                <w:color w:val="auto"/>
                <w:w w:val="92"/>
              </w:rPr>
              <w:t>Total cash costs per ounce of gold produced ($ per ounce)</w:t>
            </w:r>
            <w:r>
              <w:rPr>
                <w:rFonts w:ascii="Arial" w:cs="Arial" w:eastAsia="Arial" w:hAnsi="Arial"/>
                <w:sz w:val="28"/>
                <w:szCs w:val="28"/>
                <w:color w:val="auto"/>
                <w:w w:val="92"/>
                <w:vertAlign w:val="superscript"/>
              </w:rPr>
              <w:t>(ii)</w:t>
            </w:r>
            <w:r>
              <w:rPr>
                <w:rFonts w:ascii="Arial" w:cs="Arial" w:eastAsia="Arial" w:hAnsi="Arial"/>
                <w:sz w:val="17"/>
                <w:szCs w:val="17"/>
                <w:color w:val="auto"/>
                <w:w w:val="92"/>
              </w:rPr>
              <w:t>:</w:t>
            </w:r>
          </w:p>
        </w:tc>
        <w:tc>
          <w:tcPr>
            <w:tcW w:w="12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280" w:type="dxa"/>
            <w:vAlign w:val="bottom"/>
            <w:tcBorders>
              <w:bottom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182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20" w:type="dxa"/>
            <w:vAlign w:val="bottom"/>
            <w:shd w:val="clear" w:color="auto" w:fill="CCEEFF"/>
          </w:tcPr>
          <w:p>
            <w:pPr>
              <w:spacing w:after="0"/>
              <w:rPr>
                <w:sz w:val="17"/>
                <w:szCs w:val="17"/>
                <w:color w:val="auto"/>
              </w:rPr>
            </w:pPr>
          </w:p>
        </w:tc>
        <w:tc>
          <w:tcPr>
            <w:tcW w:w="380" w:type="dxa"/>
            <w:vAlign w:val="bottom"/>
            <w:gridSpan w:val="3"/>
            <w:shd w:val="clear" w:color="auto" w:fill="CCEEFF"/>
          </w:tcPr>
          <w:p>
            <w:pPr>
              <w:jc w:val="right"/>
              <w:ind w:right="120"/>
              <w:spacing w:after="0"/>
              <w:rPr>
                <w:sz w:val="20"/>
                <w:szCs w:val="20"/>
                <w:color w:val="auto"/>
              </w:rPr>
            </w:pPr>
            <w:r>
              <w:rPr>
                <w:rFonts w:ascii="Arial" w:cs="Arial" w:eastAsia="Arial" w:hAnsi="Arial"/>
                <w:sz w:val="17"/>
                <w:szCs w:val="17"/>
                <w:color w:val="auto"/>
                <w:w w:val="84"/>
              </w:rPr>
              <w:t>668</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568</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340" w:type="dxa"/>
            <w:vAlign w:val="bottom"/>
            <w:gridSpan w:val="6"/>
            <w:vMerge w:val="restart"/>
          </w:tcPr>
          <w:p>
            <w:pPr>
              <w:ind w:left="180"/>
              <w:spacing w:after="0"/>
              <w:rPr>
                <w:sz w:val="20"/>
                <w:szCs w:val="20"/>
                <w:color w:val="auto"/>
              </w:rPr>
            </w:pPr>
            <w:r>
              <w:rPr>
                <w:rFonts w:ascii="Arial" w:cs="Arial" w:eastAsia="Arial" w:hAnsi="Arial"/>
                <w:sz w:val="17"/>
                <w:szCs w:val="17"/>
                <w:color w:val="auto"/>
              </w:rPr>
              <w:t>By-product basis</w:t>
            </w:r>
          </w:p>
        </w:tc>
        <w:tc>
          <w:tcPr>
            <w:tcW w:w="1720" w:type="dxa"/>
            <w:vAlign w:val="bottom"/>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gridSpan w:val="2"/>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340" w:type="dxa"/>
            <w:vAlign w:val="bottom"/>
            <w:gridSpan w:val="6"/>
            <w:vMerge w:val="continue"/>
          </w:tcPr>
          <w:p>
            <w:pPr>
              <w:spacing w:after="0" w:line="20" w:lineRule="exact"/>
              <w:rPr>
                <w:sz w:val="1"/>
                <w:szCs w:val="1"/>
                <w:color w:val="auto"/>
              </w:rPr>
            </w:pPr>
          </w:p>
        </w:tc>
        <w:tc>
          <w:tcPr>
            <w:tcW w:w="1820" w:type="dxa"/>
            <w:vAlign w:val="bottom"/>
            <w:gridSpan w:val="3"/>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42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1140" w:type="dxa"/>
            <w:vAlign w:val="bottom"/>
          </w:tcPr>
          <w:p>
            <w:pPr>
              <w:spacing w:after="0"/>
              <w:rPr>
                <w:sz w:val="16"/>
                <w:szCs w:val="16"/>
                <w:color w:val="auto"/>
              </w:rPr>
            </w:pPr>
          </w:p>
        </w:tc>
        <w:tc>
          <w:tcPr>
            <w:tcW w:w="4340" w:type="dxa"/>
            <w:vAlign w:val="bottom"/>
            <w:gridSpan w:val="6"/>
            <w:vMerge w:val="continue"/>
          </w:tcPr>
          <w:p>
            <w:pPr>
              <w:spacing w:after="0"/>
              <w:rPr>
                <w:sz w:val="16"/>
                <w:szCs w:val="16"/>
                <w:color w:val="auto"/>
              </w:rPr>
            </w:pPr>
          </w:p>
        </w:tc>
        <w:tc>
          <w:tcPr>
            <w:tcW w:w="1720" w:type="dxa"/>
            <w:vAlign w:val="bottom"/>
            <w:gridSpan w:val="2"/>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020" w:type="dxa"/>
            <w:vAlign w:val="bottom"/>
            <w:tcBorders>
              <w:top w:val="single" w:sz="8" w:color="auto"/>
            </w:tcBorders>
          </w:tcPr>
          <w:p>
            <w:pPr>
              <w:spacing w:after="0"/>
              <w:rPr>
                <w:sz w:val="16"/>
                <w:szCs w:val="16"/>
                <w:color w:val="auto"/>
              </w:rPr>
            </w:pPr>
          </w:p>
        </w:tc>
        <w:tc>
          <w:tcPr>
            <w:tcW w:w="26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w w:val="84"/>
              </w:rPr>
              <w:t>668</w:t>
            </w:r>
          </w:p>
        </w:tc>
        <w:tc>
          <w:tcPr>
            <w:tcW w:w="1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568</w:t>
            </w:r>
          </w:p>
        </w:tc>
        <w:tc>
          <w:tcPr>
            <w:tcW w:w="1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00" w:type="dxa"/>
            <w:vAlign w:val="bottom"/>
            <w:vMerge w:val="restart"/>
          </w:tcPr>
          <w:p>
            <w:pPr>
              <w:jc w:val="right"/>
              <w:ind w:right="795"/>
              <w:spacing w:after="0"/>
              <w:rPr>
                <w:sz w:val="20"/>
                <w:szCs w:val="20"/>
                <w:color w:val="auto"/>
              </w:rPr>
            </w:pPr>
            <w:r>
              <w:rPr>
                <w:rFonts w:ascii="Arial" w:cs="Arial" w:eastAsia="Arial" w:hAnsi="Arial"/>
                <w:sz w:val="17"/>
                <w:szCs w:val="17"/>
                <w:color w:val="auto"/>
              </w:rPr>
              <w:t>13</w:t>
            </w:r>
          </w:p>
        </w:tc>
        <w:tc>
          <w:tcPr>
            <w:tcW w:w="5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00" w:type="dxa"/>
            <w:vAlign w:val="bottom"/>
            <w:vMerge w:val="continue"/>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114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0" w:type="dxa"/>
            <w:vAlign w:val="bottom"/>
            <w:vMerge w:val="continue"/>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206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96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900" w:type="dxa"/>
            <w:vAlign w:val="bottom"/>
            <w:tcBorders>
              <w:bottom w:val="single" w:sz="8" w:color="808080"/>
            </w:tcBorders>
          </w:tcPr>
          <w:p>
            <w:pPr>
              <w:spacing w:after="0"/>
              <w:rPr>
                <w:sz w:val="19"/>
                <w:szCs w:val="19"/>
                <w:color w:val="auto"/>
              </w:rPr>
            </w:pPr>
          </w:p>
        </w:tc>
        <w:tc>
          <w:tcPr>
            <w:tcW w:w="1200" w:type="dxa"/>
            <w:vAlign w:val="bottom"/>
            <w:tcBorders>
              <w:bottom w:val="single" w:sz="8" w:color="808080"/>
            </w:tcBorders>
          </w:tcPr>
          <w:p>
            <w:pPr>
              <w:spacing w:after="0"/>
              <w:rPr>
                <w:sz w:val="19"/>
                <w:szCs w:val="19"/>
                <w:color w:val="auto"/>
              </w:rPr>
            </w:pPr>
          </w:p>
        </w:tc>
        <w:tc>
          <w:tcPr>
            <w:tcW w:w="5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0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7" w:name="page18"/>
    <w:bookmarkEnd w:id="17"/>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Months Ended March 31, 2016</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Lapa Mine — Minesite Costs per Tonne</w:t>
      </w:r>
      <w:r>
        <w:rPr>
          <w:rFonts w:ascii="Arial" w:cs="Arial" w:eastAsia="Arial" w:hAnsi="Arial"/>
          <w:sz w:val="28"/>
          <w:szCs w:val="28"/>
          <w:b w:val="1"/>
          <w:bCs w:val="1"/>
          <w:u w:val="single" w:color="auto"/>
          <w:color w:val="auto"/>
          <w:vertAlign w:val="superscript"/>
        </w:rPr>
        <w:t>(iii)</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19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1640" w:type="dxa"/>
            <w:vAlign w:val="bottom"/>
            <w:gridSpan w:val="3"/>
          </w:tcPr>
          <w:p>
            <w:pPr>
              <w:jc w:val="center"/>
              <w:spacing w:after="0"/>
              <w:rPr>
                <w:sz w:val="20"/>
                <w:szCs w:val="20"/>
                <w:color w:val="auto"/>
              </w:rPr>
            </w:pPr>
            <w:r>
              <w:rPr>
                <w:rFonts w:ascii="Arial" w:cs="Arial" w:eastAsia="Arial" w:hAnsi="Arial"/>
                <w:sz w:val="13"/>
                <w:szCs w:val="13"/>
                <w:b w:val="1"/>
                <w:bCs w:val="1"/>
                <w:color w:val="auto"/>
                <w:w w:val="93"/>
              </w:rPr>
              <w:t>Three Months Ended</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720" w:type="dxa"/>
            <w:vAlign w:val="bottom"/>
            <w:gridSpan w:val="5"/>
          </w:tcPr>
          <w:p>
            <w:pPr>
              <w:jc w:val="center"/>
              <w:ind w:right="1520"/>
              <w:spacing w:after="0"/>
              <w:rPr>
                <w:sz w:val="20"/>
                <w:szCs w:val="20"/>
                <w:color w:val="auto"/>
              </w:rPr>
            </w:pPr>
            <w:r>
              <w:rPr>
                <w:rFonts w:ascii="Arial" w:cs="Arial" w:eastAsia="Arial" w:hAnsi="Arial"/>
                <w:sz w:val="13"/>
                <w:szCs w:val="13"/>
                <w:b w:val="1"/>
                <w:bCs w:val="1"/>
                <w:color w:val="auto"/>
                <w:w w:val="93"/>
              </w:rPr>
              <w:t>Three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240" w:type="dxa"/>
            <w:vAlign w:val="bottom"/>
            <w:tcBorders>
              <w:bottom w:val="single" w:sz="8" w:color="auto"/>
            </w:tcBorders>
            <w:gridSpan w:val="3"/>
          </w:tcPr>
          <w:p>
            <w:pPr>
              <w:ind w:left="20"/>
              <w:spacing w:after="0"/>
              <w:rPr>
                <w:sz w:val="20"/>
                <w:szCs w:val="20"/>
                <w:color w:val="auto"/>
              </w:rPr>
            </w:pPr>
            <w:r>
              <w:rPr>
                <w:rFonts w:ascii="Arial" w:cs="Arial" w:eastAsia="Arial" w:hAnsi="Arial"/>
                <w:sz w:val="13"/>
                <w:szCs w:val="13"/>
                <w:b w:val="1"/>
                <w:bCs w:val="1"/>
                <w:color w:val="auto"/>
                <w:w w:val="97"/>
              </w:rPr>
              <w:t>(thousands of United States dollars, except as noted)</w:t>
            </w:r>
          </w:p>
        </w:tc>
        <w:tc>
          <w:tcPr>
            <w:tcW w:w="1100" w:type="dxa"/>
            <w:vAlign w:val="bottom"/>
            <w:gridSpan w:val="3"/>
          </w:tcPr>
          <w:p>
            <w:pPr>
              <w:spacing w:after="0"/>
              <w:rPr>
                <w:sz w:val="13"/>
                <w:szCs w:val="13"/>
                <w:color w:val="auto"/>
              </w:rPr>
            </w:pPr>
          </w:p>
        </w:tc>
        <w:tc>
          <w:tcPr>
            <w:tcW w:w="1200" w:type="dxa"/>
            <w:vAlign w:val="bottom"/>
          </w:tcPr>
          <w:p>
            <w:pPr>
              <w:spacing w:after="0"/>
              <w:rPr>
                <w:sz w:val="13"/>
                <w:szCs w:val="13"/>
                <w:color w:val="auto"/>
              </w:rPr>
            </w:pPr>
          </w:p>
        </w:tc>
        <w:tc>
          <w:tcPr>
            <w:tcW w:w="1640" w:type="dxa"/>
            <w:vAlign w:val="bottom"/>
            <w:tcBorders>
              <w:bottom w:val="single" w:sz="8" w:color="auto"/>
            </w:tcBorders>
            <w:gridSpan w:val="3"/>
          </w:tcPr>
          <w:p>
            <w:pPr>
              <w:jc w:val="center"/>
              <w:spacing w:after="0"/>
              <w:rPr>
                <w:sz w:val="20"/>
                <w:szCs w:val="20"/>
                <w:color w:val="auto"/>
              </w:rPr>
            </w:pPr>
            <w:r>
              <w:rPr>
                <w:rFonts w:ascii="Arial" w:cs="Arial" w:eastAsia="Arial" w:hAnsi="Arial"/>
                <w:sz w:val="13"/>
                <w:szCs w:val="13"/>
                <w:b w:val="1"/>
                <w:bCs w:val="1"/>
                <w:color w:val="auto"/>
                <w:w w:val="95"/>
              </w:rPr>
              <w:t>March 31,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ind w:right="278"/>
              <w:spacing w:after="0"/>
              <w:rPr>
                <w:sz w:val="20"/>
                <w:szCs w:val="20"/>
                <w:color w:val="auto"/>
              </w:rPr>
            </w:pPr>
            <w:r>
              <w:rPr>
                <w:rFonts w:ascii="Arial" w:cs="Arial" w:eastAsia="Arial" w:hAnsi="Arial"/>
                <w:sz w:val="13"/>
                <w:szCs w:val="13"/>
                <w:b w:val="1"/>
                <w:bCs w:val="1"/>
                <w:color w:val="auto"/>
                <w:w w:val="95"/>
              </w:rPr>
              <w:t>March 31, 2015</w:t>
            </w:r>
          </w:p>
        </w:tc>
        <w:tc>
          <w:tcPr>
            <w:tcW w:w="130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Production costs</w:t>
            </w:r>
          </w:p>
        </w:tc>
        <w:tc>
          <w:tcPr>
            <w:tcW w:w="1720" w:type="dxa"/>
            <w:vAlign w:val="bottom"/>
            <w:gridSpan w:val="2"/>
            <w:shd w:val="clear" w:color="auto" w:fill="CCEEFF"/>
          </w:tcPr>
          <w:p>
            <w:pPr>
              <w:jc w:val="right"/>
              <w:ind w:right="85"/>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12,784</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13,985</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4340" w:type="dxa"/>
            <w:vAlign w:val="bottom"/>
            <w:gridSpan w:val="6"/>
          </w:tcPr>
          <w:p>
            <w:pPr>
              <w:ind w:left="20"/>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w:t>
            </w:r>
          </w:p>
        </w:tc>
        <w:tc>
          <w:tcPr>
            <w:tcW w:w="1200" w:type="dxa"/>
            <w:vAlign w:val="bottom"/>
          </w:tcPr>
          <w:p>
            <w:pPr>
              <w:spacing w:after="0"/>
              <w:rPr>
                <w:sz w:val="23"/>
                <w:szCs w:val="23"/>
                <w:color w:val="auto"/>
              </w:rPr>
            </w:pPr>
          </w:p>
        </w:tc>
        <w:tc>
          <w:tcPr>
            <w:tcW w:w="52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1,559</w:t>
            </w:r>
          </w:p>
        </w:tc>
        <w:tc>
          <w:tcPr>
            <w:tcW w:w="160" w:type="dxa"/>
            <w:vAlign w:val="bottom"/>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548</w:t>
            </w:r>
          </w:p>
        </w:tc>
        <w:tc>
          <w:tcPr>
            <w:tcW w:w="14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Minesite operating costs</w:t>
            </w:r>
          </w:p>
        </w:tc>
        <w:tc>
          <w:tcPr>
            <w:tcW w:w="1720" w:type="dxa"/>
            <w:vAlign w:val="bottom"/>
            <w:gridSpan w:val="2"/>
            <w:shd w:val="clear" w:color="auto" w:fill="CCEEFF"/>
          </w:tcPr>
          <w:p>
            <w:pPr>
              <w:jc w:val="right"/>
              <w:ind w:right="85"/>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14,343</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14,533</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340" w:type="dxa"/>
            <w:vAlign w:val="bottom"/>
            <w:gridSpan w:val="6"/>
          </w:tcPr>
          <w:p>
            <w:pPr>
              <w:ind w:left="20"/>
              <w:spacing w:after="0"/>
              <w:rPr>
                <w:sz w:val="20"/>
                <w:szCs w:val="20"/>
                <w:color w:val="auto"/>
              </w:rPr>
            </w:pPr>
            <w:r>
              <w:rPr>
                <w:rFonts w:ascii="Arial" w:cs="Arial" w:eastAsia="Arial" w:hAnsi="Arial"/>
                <w:sz w:val="17"/>
                <w:szCs w:val="17"/>
                <w:color w:val="auto"/>
              </w:rPr>
              <w:t>Minesite operating costs (thousands of C$)</w:t>
            </w:r>
          </w:p>
        </w:tc>
        <w:tc>
          <w:tcPr>
            <w:tcW w:w="1200" w:type="dxa"/>
            <w:vAlign w:val="bottom"/>
          </w:tcPr>
          <w:p>
            <w:pPr>
              <w:spacing w:after="0"/>
              <w:rPr>
                <w:sz w:val="18"/>
                <w:szCs w:val="18"/>
                <w:color w:val="auto"/>
              </w:rPr>
            </w:pPr>
          </w:p>
        </w:tc>
        <w:tc>
          <w:tcPr>
            <w:tcW w:w="620" w:type="dxa"/>
            <w:vAlign w:val="bottom"/>
            <w:gridSpan w:val="2"/>
          </w:tcPr>
          <w:p>
            <w:pPr>
              <w:jc w:val="right"/>
              <w:ind w:right="335"/>
              <w:spacing w:after="0"/>
              <w:rPr>
                <w:sz w:val="20"/>
                <w:szCs w:val="20"/>
                <w:color w:val="auto"/>
              </w:rPr>
            </w:pPr>
            <w:r>
              <w:rPr>
                <w:rFonts w:ascii="Arial" w:cs="Arial" w:eastAsia="Arial" w:hAnsi="Arial"/>
                <w:sz w:val="17"/>
                <w:szCs w:val="17"/>
                <w:color w:val="auto"/>
                <w:w w:val="82"/>
              </w:rPr>
              <w:t>C$</w:t>
            </w:r>
          </w:p>
        </w:tc>
        <w:tc>
          <w:tcPr>
            <w:tcW w:w="1020" w:type="dxa"/>
            <w:vAlign w:val="bottom"/>
          </w:tcPr>
          <w:p>
            <w:pPr>
              <w:jc w:val="right"/>
              <w:spacing w:after="0"/>
              <w:rPr>
                <w:sz w:val="20"/>
                <w:szCs w:val="20"/>
                <w:color w:val="auto"/>
              </w:rPr>
            </w:pPr>
            <w:r>
              <w:rPr>
                <w:rFonts w:ascii="Arial" w:cs="Arial" w:eastAsia="Arial" w:hAnsi="Arial"/>
                <w:sz w:val="17"/>
                <w:szCs w:val="17"/>
                <w:color w:val="auto"/>
              </w:rPr>
              <w:t>19,481</w:t>
            </w:r>
          </w:p>
        </w:tc>
        <w:tc>
          <w:tcPr>
            <w:tcW w:w="160" w:type="dxa"/>
            <w:vAlign w:val="bottom"/>
          </w:tcPr>
          <w:p>
            <w:pPr>
              <w:spacing w:after="0"/>
              <w:rPr>
                <w:sz w:val="18"/>
                <w:szCs w:val="18"/>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7"/>
                <w:szCs w:val="17"/>
                <w:color w:val="auto"/>
                <w:w w:val="82"/>
              </w:rPr>
              <w:t>C$</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18,077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3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Tonnes of ore milled (thousands of tonnes)</w:t>
            </w:r>
          </w:p>
        </w:tc>
        <w:tc>
          <w:tcPr>
            <w:tcW w:w="12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161</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340" w:type="dxa"/>
            <w:vAlign w:val="bottom"/>
            <w:gridSpan w:val="6"/>
            <w:vMerge w:val="restart"/>
          </w:tcPr>
          <w:p>
            <w:pPr>
              <w:ind w:left="20"/>
              <w:spacing w:after="0" w:line="314" w:lineRule="exact"/>
              <w:rPr>
                <w:sz w:val="20"/>
                <w:szCs w:val="20"/>
                <w:color w:val="auto"/>
              </w:rPr>
            </w:pPr>
            <w:r>
              <w:rPr>
                <w:rFonts w:ascii="Arial" w:cs="Arial" w:eastAsia="Arial" w:hAnsi="Arial"/>
                <w:sz w:val="17"/>
                <w:szCs w:val="17"/>
                <w:color w:val="auto"/>
              </w:rPr>
              <w:t>Minesite costs per tonne (C$)</w:t>
            </w:r>
            <w:r>
              <w:rPr>
                <w:rFonts w:ascii="Arial" w:cs="Arial" w:eastAsia="Arial" w:hAnsi="Arial"/>
                <w:sz w:val="28"/>
                <w:szCs w:val="28"/>
                <w:color w:val="auto"/>
                <w:vertAlign w:val="superscript"/>
              </w:rPr>
              <w:t>(iii)</w:t>
            </w:r>
          </w:p>
        </w:tc>
        <w:tc>
          <w:tcPr>
            <w:tcW w:w="120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1140" w:type="dxa"/>
            <w:vAlign w:val="bottom"/>
          </w:tcPr>
          <w:p>
            <w:pPr>
              <w:spacing w:after="0"/>
              <w:rPr>
                <w:sz w:val="23"/>
                <w:szCs w:val="23"/>
                <w:color w:val="auto"/>
              </w:rPr>
            </w:pPr>
          </w:p>
        </w:tc>
        <w:tc>
          <w:tcPr>
            <w:tcW w:w="4340" w:type="dxa"/>
            <w:vAlign w:val="bottom"/>
            <w:gridSpan w:val="6"/>
            <w:vMerge w:val="continue"/>
          </w:tcPr>
          <w:p>
            <w:pPr>
              <w:spacing w:after="0"/>
              <w:rPr>
                <w:sz w:val="23"/>
                <w:szCs w:val="23"/>
                <w:color w:val="auto"/>
              </w:rPr>
            </w:pPr>
          </w:p>
        </w:tc>
        <w:tc>
          <w:tcPr>
            <w:tcW w:w="1200" w:type="dxa"/>
            <w:vAlign w:val="bottom"/>
          </w:tcPr>
          <w:p>
            <w:pPr>
              <w:spacing w:after="0"/>
              <w:rPr>
                <w:sz w:val="23"/>
                <w:szCs w:val="23"/>
                <w:color w:val="auto"/>
              </w:rPr>
            </w:pPr>
          </w:p>
        </w:tc>
        <w:tc>
          <w:tcPr>
            <w:tcW w:w="620" w:type="dxa"/>
            <w:vAlign w:val="bottom"/>
            <w:gridSpan w:val="2"/>
          </w:tcPr>
          <w:p>
            <w:pPr>
              <w:jc w:val="right"/>
              <w:ind w:right="335"/>
              <w:spacing w:after="0"/>
              <w:rPr>
                <w:sz w:val="20"/>
                <w:szCs w:val="20"/>
                <w:color w:val="auto"/>
              </w:rPr>
            </w:pPr>
            <w:r>
              <w:rPr>
                <w:rFonts w:ascii="Arial" w:cs="Arial" w:eastAsia="Arial" w:hAnsi="Arial"/>
                <w:sz w:val="17"/>
                <w:szCs w:val="17"/>
                <w:color w:val="auto"/>
                <w:w w:val="82"/>
              </w:rPr>
              <w:t>C$</w:t>
            </w:r>
          </w:p>
        </w:tc>
        <w:tc>
          <w:tcPr>
            <w:tcW w:w="1020" w:type="dxa"/>
            <w:vAlign w:val="bottom"/>
          </w:tcPr>
          <w:p>
            <w:pPr>
              <w:jc w:val="right"/>
              <w:spacing w:after="0"/>
              <w:rPr>
                <w:sz w:val="20"/>
                <w:szCs w:val="20"/>
                <w:color w:val="auto"/>
              </w:rPr>
            </w:pPr>
            <w:r>
              <w:rPr>
                <w:rFonts w:ascii="Arial" w:cs="Arial" w:eastAsia="Arial" w:hAnsi="Arial"/>
                <w:sz w:val="17"/>
                <w:szCs w:val="17"/>
                <w:color w:val="auto"/>
              </w:rPr>
              <w:t>121</w:t>
            </w:r>
          </w:p>
        </w:tc>
        <w:tc>
          <w:tcPr>
            <w:tcW w:w="160" w:type="dxa"/>
            <w:vAlign w:val="bottom"/>
          </w:tcPr>
          <w:p>
            <w:pPr>
              <w:spacing w:after="0"/>
              <w:rPr>
                <w:sz w:val="23"/>
                <w:szCs w:val="23"/>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7"/>
                <w:szCs w:val="17"/>
                <w:color w:val="auto"/>
                <w:w w:val="82"/>
              </w:rPr>
              <w:t>C$</w:t>
            </w:r>
          </w:p>
        </w:tc>
        <w:tc>
          <w:tcPr>
            <w:tcW w:w="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119</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4560" w:type="dxa"/>
            <w:vAlign w:val="bottom"/>
            <w:gridSpan w:val="5"/>
            <w:vMerge w:val="restart"/>
          </w:tcPr>
          <w:p>
            <w:pPr>
              <w:spacing w:after="0"/>
              <w:rPr>
                <w:sz w:val="20"/>
                <w:szCs w:val="20"/>
                <w:color w:val="auto"/>
              </w:rPr>
            </w:pPr>
            <w:r>
              <w:rPr>
                <w:rFonts w:ascii="Arial" w:cs="Arial" w:eastAsia="Arial" w:hAnsi="Arial"/>
                <w:sz w:val="17"/>
                <w:szCs w:val="17"/>
                <w:b w:val="1"/>
                <w:bCs w:val="1"/>
                <w:color w:val="auto"/>
                <w:w w:val="90"/>
              </w:rPr>
              <w:t>Goldex Mine — Total Cash Costs per Ounce of Gold Produced</w:t>
            </w:r>
          </w:p>
        </w:tc>
        <w:tc>
          <w:tcPr>
            <w:tcW w:w="160" w:type="dxa"/>
            <w:vAlign w:val="bottom"/>
            <w:vMerge w:val="restart"/>
          </w:tcPr>
          <w:p>
            <w:pPr>
              <w:spacing w:after="0"/>
              <w:rPr>
                <w:sz w:val="20"/>
                <w:szCs w:val="20"/>
                <w:color w:val="auto"/>
              </w:rPr>
            </w:pPr>
            <w:r>
              <w:rPr>
                <w:rFonts w:ascii="Arial" w:cs="Arial" w:eastAsia="Arial" w:hAnsi="Arial"/>
                <w:sz w:val="14"/>
                <w:szCs w:val="14"/>
                <w:b w:val="1"/>
                <w:bCs w:val="1"/>
                <w:color w:val="auto"/>
                <w:w w:val="81"/>
              </w:rPr>
              <w:t>(ii)</w:t>
            </w:r>
          </w:p>
        </w:tc>
        <w:tc>
          <w:tcPr>
            <w:tcW w:w="7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4560" w:type="dxa"/>
            <w:vAlign w:val="bottom"/>
            <w:gridSpan w:val="5"/>
            <w:vMerge w:val="continue"/>
          </w:tcPr>
          <w:p>
            <w:pPr>
              <w:spacing w:after="0"/>
              <w:rPr>
                <w:sz w:val="24"/>
                <w:szCs w:val="24"/>
                <w:color w:val="auto"/>
              </w:rPr>
            </w:pPr>
          </w:p>
        </w:tc>
        <w:tc>
          <w:tcPr>
            <w:tcW w:w="160" w:type="dxa"/>
            <w:vAlign w:val="bottom"/>
            <w:tcBorders>
              <w:bottom w:val="single" w:sz="8" w:color="auto"/>
            </w:tcBorders>
            <w:vMerge w:val="continue"/>
          </w:tcPr>
          <w:p>
            <w:pPr>
              <w:spacing w:after="0"/>
              <w:rPr>
                <w:sz w:val="24"/>
                <w:szCs w:val="24"/>
                <w:color w:val="auto"/>
              </w:rPr>
            </w:pPr>
          </w:p>
        </w:tc>
        <w:tc>
          <w:tcPr>
            <w:tcW w:w="760" w:type="dxa"/>
            <w:vAlign w:val="bottom"/>
            <w:vMerge w:val="restart"/>
          </w:tcPr>
          <w:p>
            <w:pPr>
              <w:spacing w:after="0"/>
              <w:rPr>
                <w:sz w:val="24"/>
                <w:szCs w:val="24"/>
                <w:color w:val="auto"/>
              </w:rPr>
            </w:pPr>
          </w:p>
        </w:tc>
        <w:tc>
          <w:tcPr>
            <w:tcW w:w="1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4560" w:type="dxa"/>
            <w:vAlign w:val="bottom"/>
            <w:tcBorders>
              <w:bottom w:val="single" w:sz="8" w:color="auto"/>
            </w:tcBorders>
            <w:gridSpan w:val="5"/>
            <w:vMerge w:val="continue"/>
          </w:tcPr>
          <w:p>
            <w:pPr>
              <w:spacing w:after="0"/>
              <w:rPr>
                <w:sz w:val="3"/>
                <w:szCs w:val="3"/>
                <w:color w:val="auto"/>
              </w:rPr>
            </w:pPr>
          </w:p>
        </w:tc>
        <w:tc>
          <w:tcPr>
            <w:tcW w:w="160" w:type="dxa"/>
            <w:vAlign w:val="bottom"/>
          </w:tcPr>
          <w:p>
            <w:pPr>
              <w:spacing w:after="0"/>
              <w:rPr>
                <w:sz w:val="3"/>
                <w:szCs w:val="3"/>
                <w:color w:val="auto"/>
              </w:rPr>
            </w:pPr>
          </w:p>
        </w:tc>
        <w:tc>
          <w:tcPr>
            <w:tcW w:w="760" w:type="dxa"/>
            <w:vAlign w:val="bottom"/>
            <w:vMerge w:val="continue"/>
          </w:tcPr>
          <w:p>
            <w:pPr>
              <w:spacing w:after="0"/>
              <w:rPr>
                <w:sz w:val="3"/>
                <w:szCs w:val="3"/>
                <w:color w:val="auto"/>
              </w:rPr>
            </w:pPr>
          </w:p>
        </w:tc>
        <w:tc>
          <w:tcPr>
            <w:tcW w:w="1200" w:type="dxa"/>
            <w:vAlign w:val="bottom"/>
          </w:tcPr>
          <w:p>
            <w:pPr>
              <w:spacing w:after="0"/>
              <w:rPr>
                <w:sz w:val="3"/>
                <w:szCs w:val="3"/>
                <w:color w:val="auto"/>
              </w:rPr>
            </w:pPr>
          </w:p>
        </w:tc>
        <w:tc>
          <w:tcPr>
            <w:tcW w:w="5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400" w:type="dxa"/>
            <w:vAlign w:val="bottom"/>
            <w:gridSpan w:val="4"/>
            <w:vMerge w:val="restart"/>
          </w:tcPr>
          <w:p>
            <w:pPr>
              <w:jc w:val="right"/>
              <w:ind w:right="200"/>
              <w:spacing w:after="0"/>
              <w:rPr>
                <w:sz w:val="20"/>
                <w:szCs w:val="20"/>
                <w:color w:val="auto"/>
              </w:rPr>
            </w:pPr>
            <w:r>
              <w:rPr>
                <w:rFonts w:ascii="Arial" w:cs="Arial" w:eastAsia="Arial" w:hAnsi="Arial"/>
                <w:sz w:val="13"/>
                <w:szCs w:val="13"/>
                <w:b w:val="1"/>
                <w:bCs w:val="1"/>
                <w:color w:val="auto"/>
                <w:w w:val="91"/>
              </w:rPr>
              <w:t>Three Months Ended</w:t>
            </w: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580" w:type="dxa"/>
            <w:vAlign w:val="bottom"/>
            <w:gridSpan w:val="3"/>
            <w:vMerge w:val="restart"/>
          </w:tcPr>
          <w:p>
            <w:pPr>
              <w:spacing w:after="0"/>
              <w:rPr>
                <w:sz w:val="20"/>
                <w:szCs w:val="20"/>
                <w:color w:val="auto"/>
              </w:rPr>
            </w:pPr>
            <w:r>
              <w:rPr>
                <w:rFonts w:ascii="Arial" w:cs="Arial" w:eastAsia="Arial" w:hAnsi="Arial"/>
                <w:sz w:val="13"/>
                <w:szCs w:val="13"/>
                <w:b w:val="1"/>
                <w:bCs w:val="1"/>
                <w:color w:val="auto"/>
              </w:rPr>
              <w:t>Three Months Ended</w:t>
            </w:r>
          </w:p>
        </w:tc>
        <w:tc>
          <w:tcPr>
            <w:tcW w:w="0" w:type="dxa"/>
            <w:vAlign w:val="bottom"/>
          </w:tcPr>
          <w:p>
            <w:pPr>
              <w:spacing w:after="0"/>
              <w:rPr>
                <w:sz w:val="1"/>
                <w:szCs w:val="1"/>
                <w:color w:val="auto"/>
              </w:rPr>
            </w:pPr>
          </w:p>
        </w:tc>
      </w:tr>
      <w:tr>
        <w:trPr>
          <w:trHeight w:val="360"/>
        </w:trPr>
        <w:tc>
          <w:tcPr>
            <w:tcW w:w="114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0" w:type="dxa"/>
            <w:vAlign w:val="bottom"/>
            <w:gridSpan w:val="4"/>
            <w:vMerge w:val="continue"/>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580" w:type="dxa"/>
            <w:vAlign w:val="bottom"/>
            <w:gridSpan w:val="3"/>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240" w:type="dxa"/>
            <w:vAlign w:val="bottom"/>
            <w:tcBorders>
              <w:bottom w:val="single" w:sz="8" w:color="auto"/>
            </w:tcBorders>
            <w:gridSpan w:val="3"/>
          </w:tcPr>
          <w:p>
            <w:pPr>
              <w:ind w:left="20"/>
              <w:spacing w:after="0"/>
              <w:rPr>
                <w:sz w:val="20"/>
                <w:szCs w:val="20"/>
                <w:color w:val="auto"/>
              </w:rPr>
            </w:pPr>
            <w:r>
              <w:rPr>
                <w:rFonts w:ascii="Arial" w:cs="Arial" w:eastAsia="Arial" w:hAnsi="Arial"/>
                <w:sz w:val="13"/>
                <w:szCs w:val="13"/>
                <w:b w:val="1"/>
                <w:bCs w:val="1"/>
                <w:color w:val="auto"/>
                <w:w w:val="97"/>
              </w:rPr>
              <w:t>(thousands of United States dollars, except as noted)</w:t>
            </w:r>
          </w:p>
        </w:tc>
        <w:tc>
          <w:tcPr>
            <w:tcW w:w="1100" w:type="dxa"/>
            <w:vAlign w:val="bottom"/>
            <w:gridSpan w:val="3"/>
          </w:tcPr>
          <w:p>
            <w:pPr>
              <w:spacing w:after="0"/>
              <w:rPr>
                <w:sz w:val="13"/>
                <w:szCs w:val="13"/>
                <w:color w:val="auto"/>
              </w:rPr>
            </w:pPr>
          </w:p>
        </w:tc>
        <w:tc>
          <w:tcPr>
            <w:tcW w:w="12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March 31, 2016</w:t>
            </w:r>
          </w:p>
        </w:tc>
        <w:tc>
          <w:tcPr>
            <w:tcW w:w="16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178"/>
              <w:spacing w:after="0"/>
              <w:rPr>
                <w:sz w:val="20"/>
                <w:szCs w:val="20"/>
                <w:color w:val="auto"/>
              </w:rPr>
            </w:pPr>
            <w:r>
              <w:rPr>
                <w:rFonts w:ascii="Arial" w:cs="Arial" w:eastAsia="Arial" w:hAnsi="Arial"/>
                <w:sz w:val="13"/>
                <w:szCs w:val="13"/>
                <w:b w:val="1"/>
                <w:bCs w:val="1"/>
                <w:color w:val="auto"/>
              </w:rPr>
              <w:t>March 31, 2015</w:t>
            </w:r>
          </w:p>
        </w:tc>
        <w:tc>
          <w:tcPr>
            <w:tcW w:w="130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Production costs</w:t>
            </w:r>
          </w:p>
        </w:tc>
        <w:tc>
          <w:tcPr>
            <w:tcW w:w="182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0" w:type="dxa"/>
            <w:vAlign w:val="bottom"/>
            <w:gridSpan w:val="4"/>
            <w:shd w:val="clear" w:color="auto" w:fill="CCEEFF"/>
          </w:tcPr>
          <w:p>
            <w:pPr>
              <w:jc w:val="right"/>
              <w:ind w:right="120"/>
              <w:spacing w:after="0"/>
              <w:rPr>
                <w:sz w:val="20"/>
                <w:szCs w:val="20"/>
                <w:color w:val="auto"/>
              </w:rPr>
            </w:pPr>
            <w:r>
              <w:rPr>
                <w:rFonts w:ascii="Arial" w:cs="Arial" w:eastAsia="Arial" w:hAnsi="Arial"/>
                <w:sz w:val="17"/>
                <w:szCs w:val="17"/>
                <w:color w:val="auto"/>
              </w:rPr>
              <w:t>15,732</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14,866</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340" w:type="dxa"/>
            <w:vAlign w:val="bottom"/>
            <w:gridSpan w:val="6"/>
          </w:tcPr>
          <w:p>
            <w:pPr>
              <w:ind w:left="20"/>
              <w:spacing w:after="0"/>
              <w:rPr>
                <w:sz w:val="20"/>
                <w:szCs w:val="20"/>
                <w:color w:val="auto"/>
              </w:rPr>
            </w:pPr>
            <w:r>
              <w:rPr>
                <w:rFonts w:ascii="Arial" w:cs="Arial" w:eastAsia="Arial" w:hAnsi="Arial"/>
                <w:sz w:val="17"/>
                <w:szCs w:val="17"/>
                <w:color w:val="auto"/>
              </w:rPr>
              <w:t>Adjustments:</w:t>
            </w:r>
          </w:p>
        </w:tc>
        <w:tc>
          <w:tcPr>
            <w:tcW w:w="1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4340" w:type="dxa"/>
            <w:vAlign w:val="bottom"/>
            <w:gridSpan w:val="6"/>
            <w:shd w:val="clear" w:color="auto" w:fill="CCEEFF"/>
          </w:tcPr>
          <w:p>
            <w:pPr>
              <w:ind w:left="360"/>
              <w:spacing w:after="0" w:line="249"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(iv)</w:t>
            </w:r>
          </w:p>
        </w:tc>
        <w:tc>
          <w:tcPr>
            <w:tcW w:w="1200" w:type="dxa"/>
            <w:vAlign w:val="bottom"/>
            <w:shd w:val="clear" w:color="auto" w:fill="CCEEFF"/>
          </w:tcPr>
          <w:p>
            <w:pPr>
              <w:spacing w:after="0"/>
              <w:rPr>
                <w:sz w:val="21"/>
                <w:szCs w:val="21"/>
                <w:color w:val="auto"/>
              </w:rPr>
            </w:pPr>
          </w:p>
        </w:tc>
        <w:tc>
          <w:tcPr>
            <w:tcW w:w="5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020" w:type="dxa"/>
            <w:vAlign w:val="bottom"/>
            <w:shd w:val="clear" w:color="auto" w:fill="CCEEFF"/>
          </w:tcPr>
          <w:p>
            <w:pPr>
              <w:spacing w:after="0"/>
              <w:rPr>
                <w:sz w:val="21"/>
                <w:szCs w:val="21"/>
                <w:color w:val="auto"/>
              </w:rPr>
            </w:pPr>
          </w:p>
        </w:tc>
        <w:tc>
          <w:tcPr>
            <w:tcW w:w="380" w:type="dxa"/>
            <w:vAlign w:val="bottom"/>
            <w:gridSpan w:val="3"/>
            <w:shd w:val="clear" w:color="auto" w:fill="CCEEFF"/>
          </w:tcPr>
          <w:p>
            <w:pPr>
              <w:jc w:val="right"/>
              <w:ind w:right="120"/>
              <w:spacing w:after="0"/>
              <w:rPr>
                <w:sz w:val="20"/>
                <w:szCs w:val="20"/>
                <w:color w:val="auto"/>
              </w:rPr>
            </w:pPr>
            <w:r>
              <w:rPr>
                <w:rFonts w:ascii="Arial" w:cs="Arial" w:eastAsia="Arial" w:hAnsi="Arial"/>
                <w:sz w:val="17"/>
                <w:szCs w:val="17"/>
                <w:color w:val="auto"/>
                <w:w w:val="84"/>
              </w:rPr>
              <w:t>624</w:t>
            </w:r>
          </w:p>
        </w:tc>
        <w:tc>
          <w:tcPr>
            <w:tcW w:w="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973</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340" w:type="dxa"/>
            <w:vAlign w:val="bottom"/>
            <w:gridSpan w:val="6"/>
            <w:vMerge w:val="restart"/>
          </w:tcPr>
          <w:p>
            <w:pPr>
              <w:ind w:left="20"/>
              <w:spacing w:after="0"/>
              <w:rPr>
                <w:sz w:val="20"/>
                <w:szCs w:val="20"/>
                <w:color w:val="auto"/>
              </w:rPr>
            </w:pPr>
            <w:r>
              <w:rPr>
                <w:rFonts w:ascii="Arial" w:cs="Arial" w:eastAsia="Arial" w:hAnsi="Arial"/>
                <w:sz w:val="17"/>
                <w:szCs w:val="17"/>
                <w:color w:val="auto"/>
              </w:rPr>
              <w:t>Cash operating costs (co-product basis)</w:t>
            </w:r>
          </w:p>
        </w:tc>
        <w:tc>
          <w:tcPr>
            <w:tcW w:w="1820" w:type="dxa"/>
            <w:vAlign w:val="bottom"/>
            <w:gridSpan w:val="3"/>
          </w:tcPr>
          <w:p>
            <w:pPr>
              <w:spacing w:after="0"/>
              <w:rPr>
                <w:sz w:val="2"/>
                <w:szCs w:val="2"/>
                <w:color w:val="auto"/>
              </w:rPr>
            </w:pPr>
          </w:p>
        </w:tc>
        <w:tc>
          <w:tcPr>
            <w:tcW w:w="1400" w:type="dxa"/>
            <w:vAlign w:val="bottom"/>
            <w:gridSpan w:val="4"/>
          </w:tcPr>
          <w:p>
            <w:pPr>
              <w:spacing w:after="0"/>
              <w:rPr>
                <w:sz w:val="2"/>
                <w:szCs w:val="2"/>
                <w:color w:val="auto"/>
              </w:rPr>
            </w:pPr>
          </w:p>
        </w:tc>
        <w:tc>
          <w:tcPr>
            <w:tcW w:w="140" w:type="dxa"/>
            <w:vAlign w:val="bottom"/>
            <w:gridSpan w:val="2"/>
          </w:tcPr>
          <w:p>
            <w:pPr>
              <w:spacing w:after="0"/>
              <w:rPr>
                <w:sz w:val="2"/>
                <w:szCs w:val="2"/>
                <w:color w:val="auto"/>
              </w:rPr>
            </w:pPr>
          </w:p>
        </w:tc>
        <w:tc>
          <w:tcPr>
            <w:tcW w:w="142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vMerge w:val="continue"/>
          </w:tcPr>
          <w:p>
            <w:pPr>
              <w:spacing w:after="0"/>
              <w:rPr>
                <w:sz w:val="17"/>
                <w:szCs w:val="17"/>
                <w:color w:val="auto"/>
              </w:rPr>
            </w:pPr>
          </w:p>
        </w:tc>
        <w:tc>
          <w:tcPr>
            <w:tcW w:w="1720" w:type="dxa"/>
            <w:vAlign w:val="bottom"/>
            <w:gridSpan w:val="2"/>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3"/>
          </w:tcPr>
          <w:p>
            <w:pPr>
              <w:jc w:val="right"/>
              <w:spacing w:after="0"/>
              <w:rPr>
                <w:sz w:val="20"/>
                <w:szCs w:val="20"/>
                <w:color w:val="auto"/>
              </w:rPr>
            </w:pPr>
            <w:r>
              <w:rPr>
                <w:rFonts w:ascii="Arial" w:cs="Arial" w:eastAsia="Arial" w:hAnsi="Arial"/>
                <w:sz w:val="17"/>
                <w:szCs w:val="17"/>
                <w:color w:val="auto"/>
              </w:rPr>
              <w:t>16,356</w:t>
            </w: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15,839</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340" w:type="dxa"/>
            <w:vAlign w:val="bottom"/>
            <w:gridSpan w:val="6"/>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12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380" w:type="dxa"/>
            <w:vAlign w:val="bottom"/>
            <w:gridSpan w:val="3"/>
            <w:shd w:val="clear" w:color="auto" w:fill="CCEEFF"/>
          </w:tcPr>
          <w:p>
            <w:pPr>
              <w:jc w:val="right"/>
              <w:ind w:right="60"/>
              <w:spacing w:after="0"/>
              <w:rPr>
                <w:sz w:val="20"/>
                <w:szCs w:val="20"/>
                <w:color w:val="auto"/>
              </w:rPr>
            </w:pPr>
            <w:r>
              <w:rPr>
                <w:rFonts w:ascii="Arial" w:cs="Arial" w:eastAsia="Arial" w:hAnsi="Arial"/>
                <w:sz w:val="17"/>
                <w:szCs w:val="17"/>
                <w:color w:val="auto"/>
              </w:rPr>
              <w:t>(6)</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340" w:type="dxa"/>
            <w:vAlign w:val="bottom"/>
            <w:gridSpan w:val="6"/>
            <w:vMerge w:val="restart"/>
          </w:tcPr>
          <w:p>
            <w:pPr>
              <w:ind w:left="20"/>
              <w:spacing w:after="0"/>
              <w:rPr>
                <w:sz w:val="20"/>
                <w:szCs w:val="20"/>
                <w:color w:val="auto"/>
              </w:rPr>
            </w:pPr>
            <w:r>
              <w:rPr>
                <w:rFonts w:ascii="Arial" w:cs="Arial" w:eastAsia="Arial" w:hAnsi="Arial"/>
                <w:sz w:val="17"/>
                <w:szCs w:val="17"/>
                <w:color w:val="auto"/>
              </w:rPr>
              <w:t>Cash operating costs (by-product basis)</w:t>
            </w:r>
          </w:p>
        </w:tc>
        <w:tc>
          <w:tcPr>
            <w:tcW w:w="1820" w:type="dxa"/>
            <w:vAlign w:val="bottom"/>
            <w:gridSpan w:val="3"/>
          </w:tcPr>
          <w:p>
            <w:pPr>
              <w:spacing w:after="0"/>
              <w:rPr>
                <w:sz w:val="2"/>
                <w:szCs w:val="2"/>
                <w:color w:val="auto"/>
              </w:rPr>
            </w:pPr>
          </w:p>
        </w:tc>
        <w:tc>
          <w:tcPr>
            <w:tcW w:w="1400" w:type="dxa"/>
            <w:vAlign w:val="bottom"/>
            <w:gridSpan w:val="4"/>
          </w:tcPr>
          <w:p>
            <w:pPr>
              <w:spacing w:after="0"/>
              <w:rPr>
                <w:sz w:val="2"/>
                <w:szCs w:val="2"/>
                <w:color w:val="auto"/>
              </w:rPr>
            </w:pPr>
          </w:p>
        </w:tc>
        <w:tc>
          <w:tcPr>
            <w:tcW w:w="140" w:type="dxa"/>
            <w:vAlign w:val="bottom"/>
            <w:gridSpan w:val="2"/>
          </w:tcPr>
          <w:p>
            <w:pPr>
              <w:spacing w:after="0"/>
              <w:rPr>
                <w:sz w:val="2"/>
                <w:szCs w:val="2"/>
                <w:color w:val="auto"/>
              </w:rPr>
            </w:pPr>
          </w:p>
        </w:tc>
        <w:tc>
          <w:tcPr>
            <w:tcW w:w="142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vMerge w:val="continue"/>
          </w:tcPr>
          <w:p>
            <w:pPr>
              <w:spacing w:after="0"/>
              <w:rPr>
                <w:sz w:val="17"/>
                <w:szCs w:val="17"/>
                <w:color w:val="auto"/>
              </w:rPr>
            </w:pPr>
          </w:p>
        </w:tc>
        <w:tc>
          <w:tcPr>
            <w:tcW w:w="1720" w:type="dxa"/>
            <w:vAlign w:val="bottom"/>
            <w:gridSpan w:val="2"/>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3"/>
          </w:tcPr>
          <w:p>
            <w:pPr>
              <w:jc w:val="right"/>
              <w:spacing w:after="0"/>
              <w:rPr>
                <w:sz w:val="20"/>
                <w:szCs w:val="20"/>
                <w:color w:val="auto"/>
              </w:rPr>
            </w:pPr>
            <w:r>
              <w:rPr>
                <w:rFonts w:ascii="Arial" w:cs="Arial" w:eastAsia="Arial" w:hAnsi="Arial"/>
                <w:sz w:val="17"/>
                <w:szCs w:val="17"/>
                <w:color w:val="auto"/>
              </w:rPr>
              <w:t>16,350</w:t>
            </w: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15,832</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3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Gold production (ounces)</w:t>
            </w:r>
          </w:p>
        </w:tc>
        <w:tc>
          <w:tcPr>
            <w:tcW w:w="12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0" w:type="dxa"/>
            <w:vAlign w:val="bottom"/>
            <w:gridSpan w:val="4"/>
            <w:shd w:val="clear" w:color="auto" w:fill="CCEEFF"/>
          </w:tcPr>
          <w:p>
            <w:pPr>
              <w:jc w:val="right"/>
              <w:ind w:right="120"/>
              <w:spacing w:after="0"/>
              <w:rPr>
                <w:sz w:val="20"/>
                <w:szCs w:val="20"/>
                <w:color w:val="auto"/>
              </w:rPr>
            </w:pPr>
            <w:r>
              <w:rPr>
                <w:rFonts w:ascii="Arial" w:cs="Arial" w:eastAsia="Arial" w:hAnsi="Arial"/>
                <w:sz w:val="17"/>
                <w:szCs w:val="17"/>
                <w:color w:val="auto"/>
              </w:rPr>
              <w:t>32,340</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29,250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4340" w:type="dxa"/>
            <w:vAlign w:val="bottom"/>
            <w:gridSpan w:val="6"/>
          </w:tcPr>
          <w:p>
            <w:pPr>
              <w:ind w:left="20"/>
              <w:spacing w:after="0" w:line="276" w:lineRule="exact"/>
              <w:rPr>
                <w:sz w:val="20"/>
                <w:szCs w:val="20"/>
                <w:color w:val="auto"/>
              </w:rPr>
            </w:pPr>
            <w:r>
              <w:rPr>
                <w:rFonts w:ascii="Arial" w:cs="Arial" w:eastAsia="Arial" w:hAnsi="Arial"/>
                <w:sz w:val="17"/>
                <w:szCs w:val="17"/>
                <w:color w:val="auto"/>
                <w:w w:val="92"/>
              </w:rPr>
              <w:t>Total cash costs per ounce of gold produced ($ per ounce)</w:t>
            </w:r>
            <w:r>
              <w:rPr>
                <w:rFonts w:ascii="Arial" w:cs="Arial" w:eastAsia="Arial" w:hAnsi="Arial"/>
                <w:sz w:val="28"/>
                <w:szCs w:val="28"/>
                <w:color w:val="auto"/>
                <w:w w:val="92"/>
                <w:vertAlign w:val="superscript"/>
              </w:rPr>
              <w:t>(ii)</w:t>
            </w:r>
            <w:r>
              <w:rPr>
                <w:rFonts w:ascii="Arial" w:cs="Arial" w:eastAsia="Arial" w:hAnsi="Arial"/>
                <w:sz w:val="17"/>
                <w:szCs w:val="17"/>
                <w:color w:val="auto"/>
                <w:w w:val="92"/>
              </w:rPr>
              <w:t>:</w:t>
            </w:r>
          </w:p>
        </w:tc>
        <w:tc>
          <w:tcPr>
            <w:tcW w:w="12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280" w:type="dxa"/>
            <w:vAlign w:val="bottom"/>
            <w:tcBorders>
              <w:bottom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182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20" w:type="dxa"/>
            <w:vAlign w:val="bottom"/>
            <w:shd w:val="clear" w:color="auto" w:fill="CCEEFF"/>
          </w:tcPr>
          <w:p>
            <w:pPr>
              <w:spacing w:after="0"/>
              <w:rPr>
                <w:sz w:val="17"/>
                <w:szCs w:val="17"/>
                <w:color w:val="auto"/>
              </w:rPr>
            </w:pPr>
          </w:p>
        </w:tc>
        <w:tc>
          <w:tcPr>
            <w:tcW w:w="380" w:type="dxa"/>
            <w:vAlign w:val="bottom"/>
            <w:gridSpan w:val="3"/>
            <w:shd w:val="clear" w:color="auto" w:fill="CCEEFF"/>
          </w:tcPr>
          <w:p>
            <w:pPr>
              <w:jc w:val="right"/>
              <w:ind w:right="120"/>
              <w:spacing w:after="0"/>
              <w:rPr>
                <w:sz w:val="20"/>
                <w:szCs w:val="20"/>
                <w:color w:val="auto"/>
              </w:rPr>
            </w:pPr>
            <w:r>
              <w:rPr>
                <w:rFonts w:ascii="Arial" w:cs="Arial" w:eastAsia="Arial" w:hAnsi="Arial"/>
                <w:sz w:val="17"/>
                <w:szCs w:val="17"/>
                <w:color w:val="auto"/>
                <w:w w:val="84"/>
              </w:rPr>
              <w:t>506</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542</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340" w:type="dxa"/>
            <w:vAlign w:val="bottom"/>
            <w:gridSpan w:val="6"/>
            <w:vMerge w:val="restart"/>
          </w:tcPr>
          <w:p>
            <w:pPr>
              <w:ind w:left="180"/>
              <w:spacing w:after="0"/>
              <w:rPr>
                <w:sz w:val="20"/>
                <w:szCs w:val="20"/>
                <w:color w:val="auto"/>
              </w:rPr>
            </w:pPr>
            <w:r>
              <w:rPr>
                <w:rFonts w:ascii="Arial" w:cs="Arial" w:eastAsia="Arial" w:hAnsi="Arial"/>
                <w:sz w:val="17"/>
                <w:szCs w:val="17"/>
                <w:color w:val="auto"/>
              </w:rPr>
              <w:t>By-product basis</w:t>
            </w:r>
          </w:p>
        </w:tc>
        <w:tc>
          <w:tcPr>
            <w:tcW w:w="1720" w:type="dxa"/>
            <w:vAlign w:val="bottom"/>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gridSpan w:val="2"/>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340" w:type="dxa"/>
            <w:vAlign w:val="bottom"/>
            <w:gridSpan w:val="6"/>
            <w:vMerge w:val="continue"/>
          </w:tcPr>
          <w:p>
            <w:pPr>
              <w:spacing w:after="0" w:line="20" w:lineRule="exact"/>
              <w:rPr>
                <w:sz w:val="1"/>
                <w:szCs w:val="1"/>
                <w:color w:val="auto"/>
              </w:rPr>
            </w:pPr>
          </w:p>
        </w:tc>
        <w:tc>
          <w:tcPr>
            <w:tcW w:w="1820" w:type="dxa"/>
            <w:vAlign w:val="bottom"/>
            <w:gridSpan w:val="3"/>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42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1140" w:type="dxa"/>
            <w:vAlign w:val="bottom"/>
          </w:tcPr>
          <w:p>
            <w:pPr>
              <w:spacing w:after="0"/>
              <w:rPr>
                <w:sz w:val="16"/>
                <w:szCs w:val="16"/>
                <w:color w:val="auto"/>
              </w:rPr>
            </w:pPr>
          </w:p>
        </w:tc>
        <w:tc>
          <w:tcPr>
            <w:tcW w:w="4340" w:type="dxa"/>
            <w:vAlign w:val="bottom"/>
            <w:gridSpan w:val="6"/>
            <w:vMerge w:val="continue"/>
          </w:tcPr>
          <w:p>
            <w:pPr>
              <w:spacing w:after="0"/>
              <w:rPr>
                <w:sz w:val="16"/>
                <w:szCs w:val="16"/>
                <w:color w:val="auto"/>
              </w:rPr>
            </w:pPr>
          </w:p>
        </w:tc>
        <w:tc>
          <w:tcPr>
            <w:tcW w:w="1720" w:type="dxa"/>
            <w:vAlign w:val="bottom"/>
            <w:gridSpan w:val="2"/>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020" w:type="dxa"/>
            <w:vAlign w:val="bottom"/>
            <w:tcBorders>
              <w:top w:val="single" w:sz="8" w:color="auto"/>
            </w:tcBorders>
          </w:tcPr>
          <w:p>
            <w:pPr>
              <w:spacing w:after="0"/>
              <w:rPr>
                <w:sz w:val="16"/>
                <w:szCs w:val="16"/>
                <w:color w:val="auto"/>
              </w:rPr>
            </w:pPr>
          </w:p>
        </w:tc>
        <w:tc>
          <w:tcPr>
            <w:tcW w:w="26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w w:val="84"/>
              </w:rPr>
              <w:t>506</w:t>
            </w:r>
          </w:p>
        </w:tc>
        <w:tc>
          <w:tcPr>
            <w:tcW w:w="1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541</w:t>
            </w:r>
          </w:p>
        </w:tc>
        <w:tc>
          <w:tcPr>
            <w:tcW w:w="1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040" w:type="dxa"/>
            <w:vAlign w:val="bottom"/>
            <w:gridSpan w:val="2"/>
            <w:vMerge w:val="restart"/>
          </w:tcPr>
          <w:p>
            <w:pPr>
              <w:spacing w:after="0"/>
              <w:rPr>
                <w:sz w:val="20"/>
                <w:szCs w:val="20"/>
                <w:color w:val="auto"/>
              </w:rPr>
            </w:pPr>
            <w:r>
              <w:rPr>
                <w:rFonts w:ascii="Arial" w:cs="Arial" w:eastAsia="Arial" w:hAnsi="Arial"/>
                <w:sz w:val="17"/>
                <w:szCs w:val="17"/>
                <w:b w:val="1"/>
                <w:bCs w:val="1"/>
                <w:color w:val="auto"/>
                <w:w w:val="90"/>
              </w:rPr>
              <w:t>Goldex Mine — Minesite Costs per Tonne</w:t>
            </w:r>
          </w:p>
        </w:tc>
        <w:tc>
          <w:tcPr>
            <w:tcW w:w="220" w:type="dxa"/>
            <w:vAlign w:val="bottom"/>
            <w:vMerge w:val="restart"/>
          </w:tcPr>
          <w:p>
            <w:pPr>
              <w:spacing w:after="0"/>
              <w:rPr>
                <w:sz w:val="20"/>
                <w:szCs w:val="20"/>
                <w:color w:val="auto"/>
              </w:rPr>
            </w:pPr>
            <w:r>
              <w:rPr>
                <w:rFonts w:ascii="Arial" w:cs="Arial" w:eastAsia="Arial" w:hAnsi="Arial"/>
                <w:sz w:val="14"/>
                <w:szCs w:val="14"/>
                <w:b w:val="1"/>
                <w:bCs w:val="1"/>
                <w:color w:val="auto"/>
                <w:w w:val="95"/>
              </w:rPr>
              <w:t>(iii)</w:t>
            </w:r>
          </w:p>
        </w:tc>
        <w:tc>
          <w:tcPr>
            <w:tcW w:w="1120" w:type="dxa"/>
            <w:vAlign w:val="bottom"/>
          </w:tcPr>
          <w:p>
            <w:pPr>
              <w:spacing w:after="0" w:line="20" w:lineRule="exact"/>
              <w:rPr>
                <w:sz w:val="1"/>
                <w:szCs w:val="1"/>
                <w:color w:val="auto"/>
              </w:rPr>
            </w:pPr>
          </w:p>
        </w:tc>
        <w:tc>
          <w:tcPr>
            <w:tcW w:w="1100" w:type="dxa"/>
            <w:vAlign w:val="bottom"/>
            <w:gridSpan w:val="3"/>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3040" w:type="dxa"/>
            <w:vAlign w:val="bottom"/>
            <w:gridSpan w:val="2"/>
            <w:vMerge w:val="continue"/>
          </w:tcPr>
          <w:p>
            <w:pPr>
              <w:spacing w:after="0" w:line="20" w:lineRule="exact"/>
              <w:rPr>
                <w:sz w:val="1"/>
                <w:szCs w:val="1"/>
                <w:color w:val="auto"/>
              </w:rPr>
            </w:pPr>
          </w:p>
        </w:tc>
        <w:tc>
          <w:tcPr>
            <w:tcW w:w="220" w:type="dxa"/>
            <w:vAlign w:val="bottom"/>
            <w:vMerge w:val="continue"/>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100" w:type="dxa"/>
            <w:vAlign w:val="bottom"/>
            <w:gridSpan w:val="3"/>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3040" w:type="dxa"/>
            <w:vAlign w:val="bottom"/>
            <w:gridSpan w:val="2"/>
            <w:vMerge w:val="continue"/>
          </w:tcPr>
          <w:p>
            <w:pPr>
              <w:spacing w:after="0"/>
              <w:rPr>
                <w:sz w:val="24"/>
                <w:szCs w:val="24"/>
                <w:color w:val="auto"/>
              </w:rPr>
            </w:pPr>
          </w:p>
        </w:tc>
        <w:tc>
          <w:tcPr>
            <w:tcW w:w="220" w:type="dxa"/>
            <w:vAlign w:val="bottom"/>
            <w:tcBorders>
              <w:bottom w:val="single" w:sz="8" w:color="auto"/>
            </w:tcBorders>
            <w:vMerge w:val="continue"/>
          </w:tcPr>
          <w:p>
            <w:pPr>
              <w:spacing w:after="0"/>
              <w:rPr>
                <w:sz w:val="24"/>
                <w:szCs w:val="24"/>
                <w:color w:val="auto"/>
              </w:rPr>
            </w:pPr>
          </w:p>
        </w:tc>
        <w:tc>
          <w:tcPr>
            <w:tcW w:w="1120" w:type="dxa"/>
            <w:vAlign w:val="bottom"/>
            <w:vMerge w:val="restart"/>
          </w:tcPr>
          <w:p>
            <w:pPr>
              <w:spacing w:after="0"/>
              <w:rPr>
                <w:sz w:val="24"/>
                <w:szCs w:val="24"/>
                <w:color w:val="auto"/>
              </w:rPr>
            </w:pPr>
          </w:p>
        </w:tc>
        <w:tc>
          <w:tcPr>
            <w:tcW w:w="1100" w:type="dxa"/>
            <w:vAlign w:val="bottom"/>
            <w:gridSpan w:val="3"/>
            <w:vMerge w:val="restart"/>
          </w:tcPr>
          <w:p>
            <w:pPr>
              <w:spacing w:after="0"/>
              <w:rPr>
                <w:sz w:val="24"/>
                <w:szCs w:val="24"/>
                <w:color w:val="auto"/>
              </w:rPr>
            </w:pPr>
          </w:p>
        </w:tc>
        <w:tc>
          <w:tcPr>
            <w:tcW w:w="1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040" w:type="dxa"/>
            <w:vAlign w:val="bottom"/>
            <w:tcBorders>
              <w:bottom w:val="single" w:sz="8" w:color="auto"/>
            </w:tcBorders>
            <w:gridSpan w:val="2"/>
            <w:vMerge w:val="continue"/>
          </w:tcPr>
          <w:p>
            <w:pPr>
              <w:spacing w:after="0"/>
              <w:rPr>
                <w:sz w:val="3"/>
                <w:szCs w:val="3"/>
                <w:color w:val="auto"/>
              </w:rPr>
            </w:pPr>
          </w:p>
        </w:tc>
        <w:tc>
          <w:tcPr>
            <w:tcW w:w="220" w:type="dxa"/>
            <w:vAlign w:val="bottom"/>
          </w:tcPr>
          <w:p>
            <w:pPr>
              <w:spacing w:after="0"/>
              <w:rPr>
                <w:sz w:val="3"/>
                <w:szCs w:val="3"/>
                <w:color w:val="auto"/>
              </w:rPr>
            </w:pPr>
          </w:p>
        </w:tc>
        <w:tc>
          <w:tcPr>
            <w:tcW w:w="1120" w:type="dxa"/>
            <w:vAlign w:val="bottom"/>
            <w:vMerge w:val="continue"/>
          </w:tcPr>
          <w:p>
            <w:pPr>
              <w:spacing w:after="0"/>
              <w:rPr>
                <w:sz w:val="3"/>
                <w:szCs w:val="3"/>
                <w:color w:val="auto"/>
              </w:rPr>
            </w:pPr>
          </w:p>
        </w:tc>
        <w:tc>
          <w:tcPr>
            <w:tcW w:w="1100" w:type="dxa"/>
            <w:vAlign w:val="bottom"/>
            <w:gridSpan w:val="3"/>
            <w:vMerge w:val="continue"/>
          </w:tcPr>
          <w:p>
            <w:pPr>
              <w:spacing w:after="0"/>
              <w:rPr>
                <w:sz w:val="3"/>
                <w:szCs w:val="3"/>
                <w:color w:val="auto"/>
              </w:rPr>
            </w:pPr>
          </w:p>
        </w:tc>
        <w:tc>
          <w:tcPr>
            <w:tcW w:w="1200" w:type="dxa"/>
            <w:vAlign w:val="bottom"/>
          </w:tcPr>
          <w:p>
            <w:pPr>
              <w:spacing w:after="0"/>
              <w:rPr>
                <w:sz w:val="3"/>
                <w:szCs w:val="3"/>
                <w:color w:val="auto"/>
              </w:rPr>
            </w:pPr>
          </w:p>
        </w:tc>
        <w:tc>
          <w:tcPr>
            <w:tcW w:w="1640" w:type="dxa"/>
            <w:vAlign w:val="bottom"/>
            <w:gridSpan w:val="3"/>
            <w:vMerge w:val="restart"/>
          </w:tcPr>
          <w:p>
            <w:pPr>
              <w:jc w:val="center"/>
              <w:spacing w:after="0"/>
              <w:rPr>
                <w:sz w:val="20"/>
                <w:szCs w:val="20"/>
                <w:color w:val="auto"/>
              </w:rPr>
            </w:pPr>
            <w:r>
              <w:rPr>
                <w:rFonts w:ascii="Arial" w:cs="Arial" w:eastAsia="Arial" w:hAnsi="Arial"/>
                <w:sz w:val="13"/>
                <w:szCs w:val="13"/>
                <w:b w:val="1"/>
                <w:bCs w:val="1"/>
                <w:color w:val="auto"/>
                <w:w w:val="93"/>
              </w:rPr>
              <w:t>Three Months Ended</w:t>
            </w: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2720" w:type="dxa"/>
            <w:vAlign w:val="bottom"/>
            <w:gridSpan w:val="5"/>
            <w:vMerge w:val="restart"/>
          </w:tcPr>
          <w:p>
            <w:pPr>
              <w:jc w:val="center"/>
              <w:ind w:right="1520"/>
              <w:spacing w:after="0"/>
              <w:rPr>
                <w:sz w:val="20"/>
                <w:szCs w:val="20"/>
                <w:color w:val="auto"/>
              </w:rPr>
            </w:pPr>
            <w:r>
              <w:rPr>
                <w:rFonts w:ascii="Arial" w:cs="Arial" w:eastAsia="Arial" w:hAnsi="Arial"/>
                <w:sz w:val="13"/>
                <w:szCs w:val="13"/>
                <w:b w:val="1"/>
                <w:bCs w:val="1"/>
                <w:color w:val="auto"/>
                <w:w w:val="93"/>
              </w:rPr>
              <w:t>Three Months Ended</w:t>
            </w:r>
          </w:p>
        </w:tc>
        <w:tc>
          <w:tcPr>
            <w:tcW w:w="0" w:type="dxa"/>
            <w:vAlign w:val="bottom"/>
          </w:tcPr>
          <w:p>
            <w:pPr>
              <w:spacing w:after="0"/>
              <w:rPr>
                <w:sz w:val="1"/>
                <w:szCs w:val="1"/>
                <w:color w:val="auto"/>
              </w:rPr>
            </w:pPr>
          </w:p>
        </w:tc>
      </w:tr>
      <w:tr>
        <w:trPr>
          <w:trHeight w:val="360"/>
        </w:trPr>
        <w:tc>
          <w:tcPr>
            <w:tcW w:w="114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640" w:type="dxa"/>
            <w:vAlign w:val="bottom"/>
            <w:gridSpan w:val="3"/>
            <w:vMerge w:val="continue"/>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720" w:type="dxa"/>
            <w:vAlign w:val="bottom"/>
            <w:gridSpan w:val="5"/>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240" w:type="dxa"/>
            <w:vAlign w:val="bottom"/>
            <w:tcBorders>
              <w:bottom w:val="single" w:sz="8" w:color="auto"/>
            </w:tcBorders>
            <w:gridSpan w:val="3"/>
          </w:tcPr>
          <w:p>
            <w:pPr>
              <w:ind w:left="20"/>
              <w:spacing w:after="0"/>
              <w:rPr>
                <w:sz w:val="20"/>
                <w:szCs w:val="20"/>
                <w:color w:val="auto"/>
              </w:rPr>
            </w:pPr>
            <w:r>
              <w:rPr>
                <w:rFonts w:ascii="Arial" w:cs="Arial" w:eastAsia="Arial" w:hAnsi="Arial"/>
                <w:sz w:val="13"/>
                <w:szCs w:val="13"/>
                <w:b w:val="1"/>
                <w:bCs w:val="1"/>
                <w:color w:val="auto"/>
                <w:w w:val="97"/>
              </w:rPr>
              <w:t>(thousands of United States dollars, except as noted)</w:t>
            </w:r>
          </w:p>
        </w:tc>
        <w:tc>
          <w:tcPr>
            <w:tcW w:w="1100" w:type="dxa"/>
            <w:vAlign w:val="bottom"/>
            <w:gridSpan w:val="3"/>
          </w:tcPr>
          <w:p>
            <w:pPr>
              <w:spacing w:after="0"/>
              <w:rPr>
                <w:sz w:val="13"/>
                <w:szCs w:val="13"/>
                <w:color w:val="auto"/>
              </w:rPr>
            </w:pPr>
          </w:p>
        </w:tc>
        <w:tc>
          <w:tcPr>
            <w:tcW w:w="1200" w:type="dxa"/>
            <w:vAlign w:val="bottom"/>
          </w:tcPr>
          <w:p>
            <w:pPr>
              <w:spacing w:after="0"/>
              <w:rPr>
                <w:sz w:val="13"/>
                <w:szCs w:val="13"/>
                <w:color w:val="auto"/>
              </w:rPr>
            </w:pPr>
          </w:p>
        </w:tc>
        <w:tc>
          <w:tcPr>
            <w:tcW w:w="1640" w:type="dxa"/>
            <w:vAlign w:val="bottom"/>
            <w:tcBorders>
              <w:bottom w:val="single" w:sz="8" w:color="auto"/>
            </w:tcBorders>
            <w:gridSpan w:val="3"/>
          </w:tcPr>
          <w:p>
            <w:pPr>
              <w:jc w:val="center"/>
              <w:spacing w:after="0"/>
              <w:rPr>
                <w:sz w:val="20"/>
                <w:szCs w:val="20"/>
                <w:color w:val="auto"/>
              </w:rPr>
            </w:pPr>
            <w:r>
              <w:rPr>
                <w:rFonts w:ascii="Arial" w:cs="Arial" w:eastAsia="Arial" w:hAnsi="Arial"/>
                <w:sz w:val="13"/>
                <w:szCs w:val="13"/>
                <w:b w:val="1"/>
                <w:bCs w:val="1"/>
                <w:color w:val="auto"/>
                <w:w w:val="95"/>
              </w:rPr>
              <w:t>March 31,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ind w:right="278"/>
              <w:spacing w:after="0"/>
              <w:rPr>
                <w:sz w:val="20"/>
                <w:szCs w:val="20"/>
                <w:color w:val="auto"/>
              </w:rPr>
            </w:pPr>
            <w:r>
              <w:rPr>
                <w:rFonts w:ascii="Arial" w:cs="Arial" w:eastAsia="Arial" w:hAnsi="Arial"/>
                <w:sz w:val="13"/>
                <w:szCs w:val="13"/>
                <w:b w:val="1"/>
                <w:bCs w:val="1"/>
                <w:color w:val="auto"/>
                <w:w w:val="95"/>
              </w:rPr>
              <w:t>March 31, 2015</w:t>
            </w:r>
          </w:p>
        </w:tc>
        <w:tc>
          <w:tcPr>
            <w:tcW w:w="130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Production costs</w:t>
            </w:r>
          </w:p>
        </w:tc>
        <w:tc>
          <w:tcPr>
            <w:tcW w:w="1720" w:type="dxa"/>
            <w:vAlign w:val="bottom"/>
            <w:gridSpan w:val="2"/>
            <w:shd w:val="clear" w:color="auto" w:fill="CCEEFF"/>
          </w:tcPr>
          <w:p>
            <w:pPr>
              <w:jc w:val="right"/>
              <w:ind w:right="85"/>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15,732</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14,866</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4340" w:type="dxa"/>
            <w:vAlign w:val="bottom"/>
            <w:gridSpan w:val="6"/>
          </w:tcPr>
          <w:p>
            <w:pPr>
              <w:ind w:left="20"/>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w:t>
            </w:r>
          </w:p>
        </w:tc>
        <w:tc>
          <w:tcPr>
            <w:tcW w:w="1200" w:type="dxa"/>
            <w:vAlign w:val="bottom"/>
          </w:tcPr>
          <w:p>
            <w:pPr>
              <w:spacing w:after="0"/>
              <w:rPr>
                <w:sz w:val="23"/>
                <w:szCs w:val="23"/>
                <w:color w:val="auto"/>
              </w:rPr>
            </w:pPr>
          </w:p>
        </w:tc>
        <w:tc>
          <w:tcPr>
            <w:tcW w:w="52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351</w:t>
            </w:r>
          </w:p>
        </w:tc>
        <w:tc>
          <w:tcPr>
            <w:tcW w:w="160" w:type="dxa"/>
            <w:vAlign w:val="bottom"/>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761</w:t>
            </w:r>
          </w:p>
        </w:tc>
        <w:tc>
          <w:tcPr>
            <w:tcW w:w="14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Minesite operating costs</w:t>
            </w:r>
          </w:p>
        </w:tc>
        <w:tc>
          <w:tcPr>
            <w:tcW w:w="1720" w:type="dxa"/>
            <w:vAlign w:val="bottom"/>
            <w:gridSpan w:val="2"/>
            <w:shd w:val="clear" w:color="auto" w:fill="CCEEFF"/>
          </w:tcPr>
          <w:p>
            <w:pPr>
              <w:jc w:val="right"/>
              <w:ind w:right="85"/>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16,083</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15,627</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340" w:type="dxa"/>
            <w:vAlign w:val="bottom"/>
            <w:gridSpan w:val="6"/>
          </w:tcPr>
          <w:p>
            <w:pPr>
              <w:ind w:left="20"/>
              <w:spacing w:after="0"/>
              <w:rPr>
                <w:sz w:val="20"/>
                <w:szCs w:val="20"/>
                <w:color w:val="auto"/>
              </w:rPr>
            </w:pPr>
            <w:r>
              <w:rPr>
                <w:rFonts w:ascii="Arial" w:cs="Arial" w:eastAsia="Arial" w:hAnsi="Arial"/>
                <w:sz w:val="17"/>
                <w:szCs w:val="17"/>
                <w:color w:val="auto"/>
              </w:rPr>
              <w:t>Minesite operating costs (thousands of C$)</w:t>
            </w:r>
          </w:p>
        </w:tc>
        <w:tc>
          <w:tcPr>
            <w:tcW w:w="1200" w:type="dxa"/>
            <w:vAlign w:val="bottom"/>
          </w:tcPr>
          <w:p>
            <w:pPr>
              <w:spacing w:after="0"/>
              <w:rPr>
                <w:sz w:val="18"/>
                <w:szCs w:val="18"/>
                <w:color w:val="auto"/>
              </w:rPr>
            </w:pPr>
          </w:p>
        </w:tc>
        <w:tc>
          <w:tcPr>
            <w:tcW w:w="620" w:type="dxa"/>
            <w:vAlign w:val="bottom"/>
            <w:gridSpan w:val="2"/>
          </w:tcPr>
          <w:p>
            <w:pPr>
              <w:jc w:val="right"/>
              <w:ind w:right="335"/>
              <w:spacing w:after="0"/>
              <w:rPr>
                <w:sz w:val="20"/>
                <w:szCs w:val="20"/>
                <w:color w:val="auto"/>
              </w:rPr>
            </w:pPr>
            <w:r>
              <w:rPr>
                <w:rFonts w:ascii="Arial" w:cs="Arial" w:eastAsia="Arial" w:hAnsi="Arial"/>
                <w:sz w:val="17"/>
                <w:szCs w:val="17"/>
                <w:color w:val="auto"/>
                <w:w w:val="82"/>
              </w:rPr>
              <w:t>C$</w:t>
            </w:r>
          </w:p>
        </w:tc>
        <w:tc>
          <w:tcPr>
            <w:tcW w:w="1020" w:type="dxa"/>
            <w:vAlign w:val="bottom"/>
          </w:tcPr>
          <w:p>
            <w:pPr>
              <w:jc w:val="right"/>
              <w:spacing w:after="0"/>
              <w:rPr>
                <w:sz w:val="20"/>
                <w:szCs w:val="20"/>
                <w:color w:val="auto"/>
              </w:rPr>
            </w:pPr>
            <w:r>
              <w:rPr>
                <w:rFonts w:ascii="Arial" w:cs="Arial" w:eastAsia="Arial" w:hAnsi="Arial"/>
                <w:sz w:val="17"/>
                <w:szCs w:val="17"/>
                <w:color w:val="auto"/>
              </w:rPr>
              <w:t>21,706</w:t>
            </w:r>
          </w:p>
        </w:tc>
        <w:tc>
          <w:tcPr>
            <w:tcW w:w="160" w:type="dxa"/>
            <w:vAlign w:val="bottom"/>
          </w:tcPr>
          <w:p>
            <w:pPr>
              <w:spacing w:after="0"/>
              <w:rPr>
                <w:sz w:val="18"/>
                <w:szCs w:val="18"/>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7"/>
                <w:szCs w:val="17"/>
                <w:color w:val="auto"/>
                <w:w w:val="82"/>
              </w:rPr>
              <w:t>C$</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19,317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3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Tonnes of ore milled (thousands of tonnes)</w:t>
            </w:r>
          </w:p>
        </w:tc>
        <w:tc>
          <w:tcPr>
            <w:tcW w:w="12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636</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566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340" w:type="dxa"/>
            <w:vAlign w:val="bottom"/>
            <w:gridSpan w:val="6"/>
            <w:vMerge w:val="restart"/>
          </w:tcPr>
          <w:p>
            <w:pPr>
              <w:ind w:left="20"/>
              <w:spacing w:after="0" w:line="314" w:lineRule="exact"/>
              <w:rPr>
                <w:sz w:val="20"/>
                <w:szCs w:val="20"/>
                <w:color w:val="auto"/>
              </w:rPr>
            </w:pPr>
            <w:r>
              <w:rPr>
                <w:rFonts w:ascii="Arial" w:cs="Arial" w:eastAsia="Arial" w:hAnsi="Arial"/>
                <w:sz w:val="17"/>
                <w:szCs w:val="17"/>
                <w:color w:val="auto"/>
              </w:rPr>
              <w:t>Minesite costs per tonne (C$)</w:t>
            </w:r>
            <w:r>
              <w:rPr>
                <w:rFonts w:ascii="Arial" w:cs="Arial" w:eastAsia="Arial" w:hAnsi="Arial"/>
                <w:sz w:val="28"/>
                <w:szCs w:val="28"/>
                <w:color w:val="auto"/>
                <w:vertAlign w:val="superscript"/>
              </w:rPr>
              <w:t>(iii)</w:t>
            </w:r>
          </w:p>
        </w:tc>
        <w:tc>
          <w:tcPr>
            <w:tcW w:w="1200" w:type="dxa"/>
            <w:vAlign w:val="bottom"/>
          </w:tcPr>
          <w:p>
            <w:pPr>
              <w:spacing w:after="0"/>
              <w:rPr>
                <w:sz w:val="2"/>
                <w:szCs w:val="2"/>
                <w:color w:val="auto"/>
              </w:rPr>
            </w:pPr>
          </w:p>
        </w:tc>
        <w:tc>
          <w:tcPr>
            <w:tcW w:w="620" w:type="dxa"/>
            <w:vAlign w:val="bottom"/>
            <w:tcBorders>
              <w:bottom w:val="single" w:sz="8" w:color="auto"/>
            </w:tcBorders>
            <w:gridSpan w:val="2"/>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Borders>
              <w:bottom w:val="single" w:sz="8" w:color="auto"/>
            </w:tcBorders>
            <w:gridSpan w:val="2"/>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1140" w:type="dxa"/>
            <w:vAlign w:val="bottom"/>
          </w:tcPr>
          <w:p>
            <w:pPr>
              <w:spacing w:after="0"/>
              <w:rPr>
                <w:sz w:val="23"/>
                <w:szCs w:val="23"/>
                <w:color w:val="auto"/>
              </w:rPr>
            </w:pPr>
          </w:p>
        </w:tc>
        <w:tc>
          <w:tcPr>
            <w:tcW w:w="4340" w:type="dxa"/>
            <w:vAlign w:val="bottom"/>
            <w:gridSpan w:val="6"/>
            <w:vMerge w:val="continue"/>
          </w:tcPr>
          <w:p>
            <w:pPr>
              <w:spacing w:after="0"/>
              <w:rPr>
                <w:sz w:val="23"/>
                <w:szCs w:val="23"/>
                <w:color w:val="auto"/>
              </w:rPr>
            </w:pPr>
          </w:p>
        </w:tc>
        <w:tc>
          <w:tcPr>
            <w:tcW w:w="1200" w:type="dxa"/>
            <w:vAlign w:val="bottom"/>
          </w:tcPr>
          <w:p>
            <w:pPr>
              <w:spacing w:after="0"/>
              <w:rPr>
                <w:sz w:val="23"/>
                <w:szCs w:val="23"/>
                <w:color w:val="auto"/>
              </w:rPr>
            </w:pPr>
          </w:p>
        </w:tc>
        <w:tc>
          <w:tcPr>
            <w:tcW w:w="620" w:type="dxa"/>
            <w:vAlign w:val="bottom"/>
            <w:gridSpan w:val="2"/>
          </w:tcPr>
          <w:p>
            <w:pPr>
              <w:jc w:val="right"/>
              <w:ind w:right="335"/>
              <w:spacing w:after="0"/>
              <w:rPr>
                <w:sz w:val="20"/>
                <w:szCs w:val="20"/>
                <w:color w:val="auto"/>
              </w:rPr>
            </w:pPr>
            <w:r>
              <w:rPr>
                <w:rFonts w:ascii="Arial" w:cs="Arial" w:eastAsia="Arial" w:hAnsi="Arial"/>
                <w:sz w:val="17"/>
                <w:szCs w:val="17"/>
                <w:color w:val="auto"/>
                <w:w w:val="82"/>
              </w:rPr>
              <w:t>C$</w:t>
            </w:r>
          </w:p>
        </w:tc>
        <w:tc>
          <w:tcPr>
            <w:tcW w:w="1020" w:type="dxa"/>
            <w:vAlign w:val="bottom"/>
          </w:tcPr>
          <w:p>
            <w:pPr>
              <w:jc w:val="right"/>
              <w:spacing w:after="0"/>
              <w:rPr>
                <w:sz w:val="20"/>
                <w:szCs w:val="20"/>
                <w:color w:val="auto"/>
              </w:rPr>
            </w:pPr>
            <w:r>
              <w:rPr>
                <w:rFonts w:ascii="Arial" w:cs="Arial" w:eastAsia="Arial" w:hAnsi="Arial"/>
                <w:sz w:val="17"/>
                <w:szCs w:val="17"/>
                <w:color w:val="auto"/>
              </w:rPr>
              <w:t>34</w:t>
            </w:r>
          </w:p>
        </w:tc>
        <w:tc>
          <w:tcPr>
            <w:tcW w:w="160" w:type="dxa"/>
            <w:vAlign w:val="bottom"/>
          </w:tcPr>
          <w:p>
            <w:pPr>
              <w:spacing w:after="0"/>
              <w:rPr>
                <w:sz w:val="23"/>
                <w:szCs w:val="23"/>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7"/>
                <w:szCs w:val="17"/>
                <w:color w:val="auto"/>
                <w:w w:val="82"/>
              </w:rPr>
              <w:t>C$</w:t>
            </w:r>
          </w:p>
        </w:tc>
        <w:tc>
          <w:tcPr>
            <w:tcW w:w="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34</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200" w:type="dxa"/>
            <w:vAlign w:val="bottom"/>
            <w:vMerge w:val="restart"/>
          </w:tcPr>
          <w:p>
            <w:pPr>
              <w:jc w:val="right"/>
              <w:ind w:right="795"/>
              <w:spacing w:after="0"/>
              <w:rPr>
                <w:sz w:val="20"/>
                <w:szCs w:val="20"/>
                <w:color w:val="auto"/>
              </w:rPr>
            </w:pPr>
            <w:r>
              <w:rPr>
                <w:rFonts w:ascii="Arial" w:cs="Arial" w:eastAsia="Arial" w:hAnsi="Arial"/>
                <w:sz w:val="17"/>
                <w:szCs w:val="17"/>
                <w:color w:val="auto"/>
              </w:rPr>
              <w:t>14</w:t>
            </w: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114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00" w:type="dxa"/>
            <w:vAlign w:val="bottom"/>
            <w:vMerge w:val="continue"/>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190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112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760" w:type="dxa"/>
            <w:vAlign w:val="bottom"/>
            <w:tcBorders>
              <w:bottom w:val="single" w:sz="8" w:color="808080"/>
            </w:tcBorders>
          </w:tcPr>
          <w:p>
            <w:pPr>
              <w:spacing w:after="0"/>
              <w:rPr>
                <w:sz w:val="19"/>
                <w:szCs w:val="19"/>
                <w:color w:val="auto"/>
              </w:rPr>
            </w:pPr>
          </w:p>
        </w:tc>
        <w:tc>
          <w:tcPr>
            <w:tcW w:w="1200" w:type="dxa"/>
            <w:vAlign w:val="bottom"/>
            <w:tcBorders>
              <w:bottom w:val="single" w:sz="8" w:color="808080"/>
            </w:tcBorders>
          </w:tcPr>
          <w:p>
            <w:pPr>
              <w:spacing w:after="0"/>
              <w:rPr>
                <w:sz w:val="19"/>
                <w:szCs w:val="19"/>
                <w:color w:val="auto"/>
              </w:rPr>
            </w:pPr>
          </w:p>
        </w:tc>
        <w:tc>
          <w:tcPr>
            <w:tcW w:w="5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0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8" w:name="page19"/>
    <w:bookmarkEnd w:id="18"/>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For the Three Months Ended March 31, 2016</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Meadowbank Mine — Total Cash Costs per Ounce of Gold Produced</w:t>
      </w:r>
      <w:r>
        <w:rPr>
          <w:rFonts w:ascii="Arial" w:cs="Arial" w:eastAsia="Arial" w:hAnsi="Arial"/>
          <w:sz w:val="28"/>
          <w:szCs w:val="28"/>
          <w:b w:val="1"/>
          <w:bCs w:val="1"/>
          <w:u w:val="single" w:color="auto"/>
          <w:color w:val="auto"/>
          <w:vertAlign w:val="superscript"/>
        </w:rPr>
        <w:t>(ii)</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23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0" w:type="dxa"/>
            <w:vAlign w:val="bottom"/>
            <w:gridSpan w:val="4"/>
          </w:tcPr>
          <w:p>
            <w:pPr>
              <w:jc w:val="center"/>
              <w:ind w:right="200"/>
              <w:spacing w:after="0"/>
              <w:rPr>
                <w:sz w:val="20"/>
                <w:szCs w:val="20"/>
                <w:color w:val="auto"/>
              </w:rPr>
            </w:pPr>
            <w:r>
              <w:rPr>
                <w:rFonts w:ascii="Arial" w:cs="Arial" w:eastAsia="Arial" w:hAnsi="Arial"/>
                <w:sz w:val="13"/>
                <w:szCs w:val="13"/>
                <w:b w:val="1"/>
                <w:bCs w:val="1"/>
                <w:color w:val="auto"/>
                <w:w w:val="93"/>
              </w:rPr>
              <w:t>Three Months Ended</w:t>
            </w: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580" w:type="dxa"/>
            <w:vAlign w:val="bottom"/>
            <w:gridSpan w:val="3"/>
          </w:tcPr>
          <w:p>
            <w:pPr>
              <w:jc w:val="center"/>
              <w:ind w:right="1400"/>
              <w:spacing w:after="0"/>
              <w:rPr>
                <w:sz w:val="20"/>
                <w:szCs w:val="20"/>
                <w:color w:val="auto"/>
              </w:rPr>
            </w:pPr>
            <w:r>
              <w:rPr>
                <w:rFonts w:ascii="Arial" w:cs="Arial" w:eastAsia="Arial" w:hAnsi="Arial"/>
                <w:sz w:val="13"/>
                <w:szCs w:val="13"/>
                <w:b w:val="1"/>
                <w:bCs w:val="1"/>
                <w:color w:val="auto"/>
                <w:w w:val="91"/>
              </w:rPr>
              <w:t>Three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240" w:type="dxa"/>
            <w:vAlign w:val="bottom"/>
            <w:tcBorders>
              <w:bottom w:val="single" w:sz="8" w:color="auto"/>
            </w:tcBorders>
            <w:gridSpan w:val="3"/>
          </w:tcPr>
          <w:p>
            <w:pPr>
              <w:ind w:left="20"/>
              <w:spacing w:after="0"/>
              <w:rPr>
                <w:sz w:val="20"/>
                <w:szCs w:val="20"/>
                <w:color w:val="auto"/>
              </w:rPr>
            </w:pPr>
            <w:r>
              <w:rPr>
                <w:rFonts w:ascii="Arial" w:cs="Arial" w:eastAsia="Arial" w:hAnsi="Arial"/>
                <w:sz w:val="13"/>
                <w:szCs w:val="13"/>
                <w:b w:val="1"/>
                <w:bCs w:val="1"/>
                <w:color w:val="auto"/>
                <w:w w:val="97"/>
              </w:rPr>
              <w:t>(thousands of United States dollars, except as noted)</w:t>
            </w:r>
          </w:p>
        </w:tc>
        <w:tc>
          <w:tcPr>
            <w:tcW w:w="2300" w:type="dxa"/>
            <w:vAlign w:val="bottom"/>
            <w:gridSpan w:val="3"/>
          </w:tcPr>
          <w:p>
            <w:pPr>
              <w:spacing w:after="0"/>
              <w:rPr>
                <w:sz w:val="13"/>
                <w:szCs w:val="13"/>
                <w:color w:val="auto"/>
              </w:rPr>
            </w:pPr>
          </w:p>
        </w:tc>
        <w:tc>
          <w:tcPr>
            <w:tcW w:w="52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center"/>
              <w:ind w:left="78"/>
              <w:spacing w:after="0"/>
              <w:rPr>
                <w:sz w:val="20"/>
                <w:szCs w:val="20"/>
                <w:color w:val="auto"/>
              </w:rPr>
            </w:pPr>
            <w:r>
              <w:rPr>
                <w:rFonts w:ascii="Arial" w:cs="Arial" w:eastAsia="Arial" w:hAnsi="Arial"/>
                <w:sz w:val="13"/>
                <w:szCs w:val="13"/>
                <w:b w:val="1"/>
                <w:bCs w:val="1"/>
                <w:color w:val="auto"/>
                <w:w w:val="92"/>
              </w:rPr>
              <w:t>March 31, 2016</w:t>
            </w:r>
          </w:p>
        </w:tc>
        <w:tc>
          <w:tcPr>
            <w:tcW w:w="16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ind w:right="18"/>
              <w:spacing w:after="0"/>
              <w:rPr>
                <w:sz w:val="20"/>
                <w:szCs w:val="20"/>
                <w:color w:val="auto"/>
              </w:rPr>
            </w:pPr>
            <w:r>
              <w:rPr>
                <w:rFonts w:ascii="Arial" w:cs="Arial" w:eastAsia="Arial" w:hAnsi="Arial"/>
                <w:sz w:val="13"/>
                <w:szCs w:val="13"/>
                <w:b w:val="1"/>
                <w:bCs w:val="1"/>
                <w:color w:val="auto"/>
                <w:w w:val="92"/>
              </w:rPr>
              <w:t>March 31, 2015</w:t>
            </w:r>
          </w:p>
        </w:tc>
        <w:tc>
          <w:tcPr>
            <w:tcW w:w="130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55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Production costs</w:t>
            </w: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0" w:type="dxa"/>
            <w:vAlign w:val="bottom"/>
            <w:gridSpan w:val="4"/>
            <w:shd w:val="clear" w:color="auto" w:fill="CCEEFF"/>
          </w:tcPr>
          <w:p>
            <w:pPr>
              <w:jc w:val="right"/>
              <w:ind w:right="120"/>
              <w:spacing w:after="0"/>
              <w:rPr>
                <w:sz w:val="20"/>
                <w:szCs w:val="20"/>
                <w:color w:val="auto"/>
              </w:rPr>
            </w:pPr>
            <w:r>
              <w:rPr>
                <w:rFonts w:ascii="Arial" w:cs="Arial" w:eastAsia="Arial" w:hAnsi="Arial"/>
                <w:sz w:val="17"/>
                <w:szCs w:val="17"/>
                <w:color w:val="auto"/>
              </w:rPr>
              <w:t>52,210</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57,096</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540" w:type="dxa"/>
            <w:vAlign w:val="bottom"/>
            <w:gridSpan w:val="6"/>
          </w:tcPr>
          <w:p>
            <w:pPr>
              <w:ind w:left="20"/>
              <w:spacing w:after="0"/>
              <w:rPr>
                <w:sz w:val="20"/>
                <w:szCs w:val="20"/>
                <w:color w:val="auto"/>
              </w:rPr>
            </w:pPr>
            <w:r>
              <w:rPr>
                <w:rFonts w:ascii="Arial" w:cs="Arial" w:eastAsia="Arial" w:hAnsi="Arial"/>
                <w:sz w:val="17"/>
                <w:szCs w:val="17"/>
                <w:color w:val="auto"/>
              </w:rPr>
              <w:t>Adjustments:</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5540" w:type="dxa"/>
            <w:vAlign w:val="bottom"/>
            <w:gridSpan w:val="6"/>
            <w:shd w:val="clear" w:color="auto" w:fill="CCEEFF"/>
          </w:tcPr>
          <w:p>
            <w:pPr>
              <w:ind w:left="360"/>
              <w:spacing w:after="0" w:line="249"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(iv)</w:t>
            </w:r>
          </w:p>
        </w:tc>
        <w:tc>
          <w:tcPr>
            <w:tcW w:w="5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00" w:type="dxa"/>
            <w:vAlign w:val="bottom"/>
            <w:gridSpan w:val="4"/>
            <w:shd w:val="clear" w:color="auto" w:fill="CCEEFF"/>
          </w:tcPr>
          <w:p>
            <w:pPr>
              <w:jc w:val="right"/>
              <w:ind w:right="120"/>
              <w:spacing w:after="0"/>
              <w:rPr>
                <w:sz w:val="20"/>
                <w:szCs w:val="20"/>
                <w:color w:val="auto"/>
              </w:rPr>
            </w:pPr>
            <w:r>
              <w:rPr>
                <w:rFonts w:ascii="Arial" w:cs="Arial" w:eastAsia="Arial" w:hAnsi="Arial"/>
                <w:sz w:val="17"/>
                <w:szCs w:val="17"/>
                <w:color w:val="auto"/>
              </w:rPr>
              <w:t>5,446</w:t>
            </w:r>
          </w:p>
        </w:tc>
        <w:tc>
          <w:tcPr>
            <w:tcW w:w="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2,541</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5540" w:type="dxa"/>
            <w:vAlign w:val="bottom"/>
            <w:gridSpan w:val="6"/>
            <w:vMerge w:val="restart"/>
          </w:tcPr>
          <w:p>
            <w:pPr>
              <w:ind w:left="20"/>
              <w:spacing w:after="0"/>
              <w:rPr>
                <w:sz w:val="20"/>
                <w:szCs w:val="20"/>
                <w:color w:val="auto"/>
              </w:rPr>
            </w:pPr>
            <w:r>
              <w:rPr>
                <w:rFonts w:ascii="Arial" w:cs="Arial" w:eastAsia="Arial" w:hAnsi="Arial"/>
                <w:sz w:val="17"/>
                <w:szCs w:val="17"/>
                <w:color w:val="auto"/>
              </w:rPr>
              <w:t>Cash operating costs (co-product basis)</w:t>
            </w:r>
          </w:p>
        </w:tc>
        <w:tc>
          <w:tcPr>
            <w:tcW w:w="620" w:type="dxa"/>
            <w:vAlign w:val="bottom"/>
            <w:gridSpan w:val="2"/>
          </w:tcPr>
          <w:p>
            <w:pPr>
              <w:spacing w:after="0"/>
              <w:rPr>
                <w:sz w:val="2"/>
                <w:szCs w:val="2"/>
                <w:color w:val="auto"/>
              </w:rPr>
            </w:pPr>
          </w:p>
        </w:tc>
        <w:tc>
          <w:tcPr>
            <w:tcW w:w="10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gridSpan w:val="2"/>
          </w:tcPr>
          <w:p>
            <w:pPr>
              <w:spacing w:after="0"/>
              <w:rPr>
                <w:sz w:val="2"/>
                <w:szCs w:val="2"/>
                <w:color w:val="auto"/>
              </w:rPr>
            </w:pPr>
          </w:p>
        </w:tc>
        <w:tc>
          <w:tcPr>
            <w:tcW w:w="140" w:type="dxa"/>
            <w:vAlign w:val="bottom"/>
            <w:gridSpan w:val="2"/>
          </w:tcPr>
          <w:p>
            <w:pPr>
              <w:spacing w:after="0"/>
              <w:rPr>
                <w:sz w:val="2"/>
                <w:szCs w:val="2"/>
                <w:color w:val="auto"/>
              </w:rPr>
            </w:pPr>
          </w:p>
        </w:tc>
        <w:tc>
          <w:tcPr>
            <w:tcW w:w="142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5540" w:type="dxa"/>
            <w:vAlign w:val="bottom"/>
            <w:gridSpan w:val="6"/>
            <w:vMerge w:val="continue"/>
          </w:tcPr>
          <w:p>
            <w:pPr>
              <w:spacing w:after="0"/>
              <w:rPr>
                <w:sz w:val="17"/>
                <w:szCs w:val="17"/>
                <w:color w:val="auto"/>
              </w:rPr>
            </w:pPr>
          </w:p>
        </w:tc>
        <w:tc>
          <w:tcPr>
            <w:tcW w:w="52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3"/>
          </w:tcPr>
          <w:p>
            <w:pPr>
              <w:jc w:val="right"/>
              <w:spacing w:after="0"/>
              <w:rPr>
                <w:sz w:val="20"/>
                <w:szCs w:val="20"/>
                <w:color w:val="auto"/>
              </w:rPr>
            </w:pPr>
            <w:r>
              <w:rPr>
                <w:rFonts w:ascii="Arial" w:cs="Arial" w:eastAsia="Arial" w:hAnsi="Arial"/>
                <w:sz w:val="17"/>
                <w:szCs w:val="17"/>
                <w:color w:val="auto"/>
              </w:rPr>
              <w:t>57,656</w:t>
            </w: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59,637</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540" w:type="dxa"/>
            <w:vAlign w:val="bottom"/>
            <w:gridSpan w:val="6"/>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0" w:type="dxa"/>
            <w:vAlign w:val="bottom"/>
            <w:gridSpan w:val="4"/>
            <w:shd w:val="clear" w:color="auto" w:fill="CCEEFF"/>
          </w:tcPr>
          <w:p>
            <w:pPr>
              <w:jc w:val="right"/>
              <w:ind w:right="60"/>
              <w:spacing w:after="0"/>
              <w:rPr>
                <w:sz w:val="20"/>
                <w:szCs w:val="20"/>
                <w:color w:val="auto"/>
              </w:rPr>
            </w:pPr>
            <w:r>
              <w:rPr>
                <w:rFonts w:ascii="Arial" w:cs="Arial" w:eastAsia="Arial" w:hAnsi="Arial"/>
                <w:sz w:val="17"/>
                <w:szCs w:val="17"/>
                <w:color w:val="auto"/>
              </w:rPr>
              <w:t>(659)</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(1,689)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5540" w:type="dxa"/>
            <w:vAlign w:val="bottom"/>
            <w:gridSpan w:val="6"/>
            <w:vMerge w:val="restart"/>
          </w:tcPr>
          <w:p>
            <w:pPr>
              <w:ind w:left="20"/>
              <w:spacing w:after="0"/>
              <w:rPr>
                <w:sz w:val="20"/>
                <w:szCs w:val="20"/>
                <w:color w:val="auto"/>
              </w:rPr>
            </w:pPr>
            <w:r>
              <w:rPr>
                <w:rFonts w:ascii="Arial" w:cs="Arial" w:eastAsia="Arial" w:hAnsi="Arial"/>
                <w:sz w:val="17"/>
                <w:szCs w:val="17"/>
                <w:color w:val="auto"/>
              </w:rPr>
              <w:t>Cash operating costs (by-product basis)</w:t>
            </w:r>
          </w:p>
        </w:tc>
        <w:tc>
          <w:tcPr>
            <w:tcW w:w="620" w:type="dxa"/>
            <w:vAlign w:val="bottom"/>
            <w:gridSpan w:val="2"/>
          </w:tcPr>
          <w:p>
            <w:pPr>
              <w:spacing w:after="0"/>
              <w:rPr>
                <w:sz w:val="2"/>
                <w:szCs w:val="2"/>
                <w:color w:val="auto"/>
              </w:rPr>
            </w:pPr>
          </w:p>
        </w:tc>
        <w:tc>
          <w:tcPr>
            <w:tcW w:w="10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gridSpan w:val="2"/>
          </w:tcPr>
          <w:p>
            <w:pPr>
              <w:spacing w:after="0"/>
              <w:rPr>
                <w:sz w:val="2"/>
                <w:szCs w:val="2"/>
                <w:color w:val="auto"/>
              </w:rPr>
            </w:pPr>
          </w:p>
        </w:tc>
        <w:tc>
          <w:tcPr>
            <w:tcW w:w="140" w:type="dxa"/>
            <w:vAlign w:val="bottom"/>
            <w:gridSpan w:val="2"/>
          </w:tcPr>
          <w:p>
            <w:pPr>
              <w:spacing w:after="0"/>
              <w:rPr>
                <w:sz w:val="2"/>
                <w:szCs w:val="2"/>
                <w:color w:val="auto"/>
              </w:rPr>
            </w:pPr>
          </w:p>
        </w:tc>
        <w:tc>
          <w:tcPr>
            <w:tcW w:w="142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5540" w:type="dxa"/>
            <w:vAlign w:val="bottom"/>
            <w:gridSpan w:val="6"/>
            <w:vMerge w:val="continue"/>
          </w:tcPr>
          <w:p>
            <w:pPr>
              <w:spacing w:after="0"/>
              <w:rPr>
                <w:sz w:val="17"/>
                <w:szCs w:val="17"/>
                <w:color w:val="auto"/>
              </w:rPr>
            </w:pPr>
          </w:p>
        </w:tc>
        <w:tc>
          <w:tcPr>
            <w:tcW w:w="52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3"/>
          </w:tcPr>
          <w:p>
            <w:pPr>
              <w:jc w:val="right"/>
              <w:spacing w:after="0"/>
              <w:rPr>
                <w:sz w:val="20"/>
                <w:szCs w:val="20"/>
                <w:color w:val="auto"/>
              </w:rPr>
            </w:pPr>
            <w:r>
              <w:rPr>
                <w:rFonts w:ascii="Arial" w:cs="Arial" w:eastAsia="Arial" w:hAnsi="Arial"/>
                <w:sz w:val="17"/>
                <w:szCs w:val="17"/>
                <w:color w:val="auto"/>
              </w:rPr>
              <w:t>56,997</w:t>
            </w: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57,948</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5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Gold production (ounces)</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0" w:type="dxa"/>
            <w:vAlign w:val="bottom"/>
            <w:gridSpan w:val="4"/>
            <w:shd w:val="clear" w:color="auto" w:fill="CCEEFF"/>
          </w:tcPr>
          <w:p>
            <w:pPr>
              <w:jc w:val="right"/>
              <w:ind w:right="120"/>
              <w:spacing w:after="0"/>
              <w:rPr>
                <w:sz w:val="20"/>
                <w:szCs w:val="20"/>
                <w:color w:val="auto"/>
              </w:rPr>
            </w:pPr>
            <w:r>
              <w:rPr>
                <w:rFonts w:ascii="Arial" w:cs="Arial" w:eastAsia="Arial" w:hAnsi="Arial"/>
                <w:sz w:val="17"/>
                <w:szCs w:val="17"/>
                <w:color w:val="auto"/>
              </w:rPr>
              <w:t>72,311</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88,523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5540" w:type="dxa"/>
            <w:vAlign w:val="bottom"/>
            <w:gridSpan w:val="6"/>
          </w:tcPr>
          <w:p>
            <w:pPr>
              <w:ind w:left="20"/>
              <w:spacing w:after="0" w:line="276" w:lineRule="exact"/>
              <w:rPr>
                <w:sz w:val="20"/>
                <w:szCs w:val="20"/>
                <w:color w:val="auto"/>
              </w:rPr>
            </w:pPr>
            <w:r>
              <w:rPr>
                <w:rFonts w:ascii="Arial" w:cs="Arial" w:eastAsia="Arial" w:hAnsi="Arial"/>
                <w:sz w:val="17"/>
                <w:szCs w:val="17"/>
                <w:color w:val="auto"/>
              </w:rPr>
              <w:t>Total cash costs per ounce of gold produced ($ per ounce)</w:t>
            </w:r>
            <w:r>
              <w:rPr>
                <w:rFonts w:ascii="Arial" w:cs="Arial" w:eastAsia="Arial" w:hAnsi="Arial"/>
                <w:sz w:val="28"/>
                <w:szCs w:val="28"/>
                <w:color w:val="auto"/>
                <w:vertAlign w:val="superscript"/>
              </w:rPr>
              <w:t>(ii)</w:t>
            </w:r>
            <w:r>
              <w:rPr>
                <w:rFonts w:ascii="Arial" w:cs="Arial" w:eastAsia="Arial" w:hAnsi="Arial"/>
                <w:sz w:val="17"/>
                <w:szCs w:val="17"/>
                <w:color w:val="auto"/>
              </w:rPr>
              <w:t>:</w:t>
            </w:r>
          </w:p>
        </w:tc>
        <w:tc>
          <w:tcPr>
            <w:tcW w:w="520" w:type="dxa"/>
            <w:vAlign w:val="bottom"/>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280" w:type="dxa"/>
            <w:vAlign w:val="bottom"/>
            <w:tcBorders>
              <w:bottom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5540" w:type="dxa"/>
            <w:vAlign w:val="bottom"/>
            <w:gridSpan w:val="6"/>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20" w:type="dxa"/>
            <w:vAlign w:val="bottom"/>
            <w:shd w:val="clear" w:color="auto" w:fill="CCEEFF"/>
          </w:tcPr>
          <w:p>
            <w:pPr>
              <w:spacing w:after="0"/>
              <w:rPr>
                <w:sz w:val="17"/>
                <w:szCs w:val="17"/>
                <w:color w:val="auto"/>
              </w:rPr>
            </w:pPr>
          </w:p>
        </w:tc>
        <w:tc>
          <w:tcPr>
            <w:tcW w:w="380" w:type="dxa"/>
            <w:vAlign w:val="bottom"/>
            <w:gridSpan w:val="3"/>
            <w:shd w:val="clear" w:color="auto" w:fill="CCEEFF"/>
          </w:tcPr>
          <w:p>
            <w:pPr>
              <w:jc w:val="right"/>
              <w:ind w:right="120"/>
              <w:spacing w:after="0"/>
              <w:rPr>
                <w:sz w:val="20"/>
                <w:szCs w:val="20"/>
                <w:color w:val="auto"/>
              </w:rPr>
            </w:pPr>
            <w:r>
              <w:rPr>
                <w:rFonts w:ascii="Arial" w:cs="Arial" w:eastAsia="Arial" w:hAnsi="Arial"/>
                <w:sz w:val="17"/>
                <w:szCs w:val="17"/>
                <w:color w:val="auto"/>
                <w:w w:val="84"/>
              </w:rPr>
              <w:t>797</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674</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5540" w:type="dxa"/>
            <w:vAlign w:val="bottom"/>
            <w:gridSpan w:val="6"/>
            <w:vMerge w:val="restart"/>
          </w:tcPr>
          <w:p>
            <w:pPr>
              <w:ind w:left="180"/>
              <w:spacing w:after="0"/>
              <w:rPr>
                <w:sz w:val="20"/>
                <w:szCs w:val="20"/>
                <w:color w:val="auto"/>
              </w:rPr>
            </w:pPr>
            <w:r>
              <w:rPr>
                <w:rFonts w:ascii="Arial" w:cs="Arial" w:eastAsia="Arial" w:hAnsi="Arial"/>
                <w:sz w:val="17"/>
                <w:szCs w:val="17"/>
                <w:color w:val="auto"/>
              </w:rPr>
              <w:t>By-product basis</w:t>
            </w:r>
          </w:p>
        </w:tc>
        <w:tc>
          <w:tcPr>
            <w:tcW w:w="5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540" w:type="dxa"/>
            <w:vAlign w:val="bottom"/>
            <w:gridSpan w:val="6"/>
            <w:vMerge w:val="continue"/>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42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1140" w:type="dxa"/>
            <w:vAlign w:val="bottom"/>
          </w:tcPr>
          <w:p>
            <w:pPr>
              <w:spacing w:after="0"/>
              <w:rPr>
                <w:sz w:val="16"/>
                <w:szCs w:val="16"/>
                <w:color w:val="auto"/>
              </w:rPr>
            </w:pPr>
          </w:p>
        </w:tc>
        <w:tc>
          <w:tcPr>
            <w:tcW w:w="5540" w:type="dxa"/>
            <w:vAlign w:val="bottom"/>
            <w:gridSpan w:val="6"/>
            <w:vMerge w:val="continue"/>
          </w:tcPr>
          <w:p>
            <w:pPr>
              <w:spacing w:after="0"/>
              <w:rPr>
                <w:sz w:val="16"/>
                <w:szCs w:val="16"/>
                <w:color w:val="auto"/>
              </w:rPr>
            </w:pPr>
          </w:p>
        </w:tc>
        <w:tc>
          <w:tcPr>
            <w:tcW w:w="52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020" w:type="dxa"/>
            <w:vAlign w:val="bottom"/>
            <w:tcBorders>
              <w:top w:val="single" w:sz="8" w:color="auto"/>
            </w:tcBorders>
          </w:tcPr>
          <w:p>
            <w:pPr>
              <w:spacing w:after="0"/>
              <w:rPr>
                <w:sz w:val="16"/>
                <w:szCs w:val="16"/>
                <w:color w:val="auto"/>
              </w:rPr>
            </w:pPr>
          </w:p>
        </w:tc>
        <w:tc>
          <w:tcPr>
            <w:tcW w:w="26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w w:val="84"/>
              </w:rPr>
              <w:t>788</w:t>
            </w:r>
          </w:p>
        </w:tc>
        <w:tc>
          <w:tcPr>
            <w:tcW w:w="1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655</w:t>
            </w:r>
          </w:p>
        </w:tc>
        <w:tc>
          <w:tcPr>
            <w:tcW w:w="1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520" w:type="dxa"/>
            <w:vAlign w:val="bottom"/>
            <w:gridSpan w:val="2"/>
            <w:vMerge w:val="restart"/>
          </w:tcPr>
          <w:p>
            <w:pPr>
              <w:spacing w:after="0"/>
              <w:rPr>
                <w:sz w:val="20"/>
                <w:szCs w:val="20"/>
                <w:color w:val="auto"/>
              </w:rPr>
            </w:pPr>
            <w:r>
              <w:rPr>
                <w:rFonts w:ascii="Arial" w:cs="Arial" w:eastAsia="Arial" w:hAnsi="Arial"/>
                <w:sz w:val="17"/>
                <w:szCs w:val="17"/>
                <w:b w:val="1"/>
                <w:bCs w:val="1"/>
                <w:color w:val="auto"/>
                <w:w w:val="91"/>
              </w:rPr>
              <w:t>Meadowbank Mine — Minesite Costs per Tonne</w:t>
            </w:r>
          </w:p>
        </w:tc>
        <w:tc>
          <w:tcPr>
            <w:tcW w:w="220" w:type="dxa"/>
            <w:vAlign w:val="bottom"/>
            <w:vMerge w:val="restart"/>
          </w:tcPr>
          <w:p>
            <w:pPr>
              <w:spacing w:after="0"/>
              <w:rPr>
                <w:sz w:val="20"/>
                <w:szCs w:val="20"/>
                <w:color w:val="auto"/>
              </w:rPr>
            </w:pPr>
            <w:r>
              <w:rPr>
                <w:rFonts w:ascii="Arial" w:cs="Arial" w:eastAsia="Arial" w:hAnsi="Arial"/>
                <w:sz w:val="14"/>
                <w:szCs w:val="14"/>
                <w:b w:val="1"/>
                <w:bCs w:val="1"/>
                <w:color w:val="auto"/>
                <w:w w:val="95"/>
              </w:rPr>
              <w:t>(iii)</w:t>
            </w:r>
          </w:p>
        </w:tc>
        <w:tc>
          <w:tcPr>
            <w:tcW w:w="64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3520" w:type="dxa"/>
            <w:vAlign w:val="bottom"/>
            <w:gridSpan w:val="2"/>
            <w:vMerge w:val="continue"/>
          </w:tcPr>
          <w:p>
            <w:pPr>
              <w:spacing w:after="0" w:line="20" w:lineRule="exact"/>
              <w:rPr>
                <w:sz w:val="1"/>
                <w:szCs w:val="1"/>
                <w:color w:val="auto"/>
              </w:rPr>
            </w:pPr>
          </w:p>
        </w:tc>
        <w:tc>
          <w:tcPr>
            <w:tcW w:w="220" w:type="dxa"/>
            <w:vAlign w:val="bottom"/>
            <w:vMerge w:val="continue"/>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3520" w:type="dxa"/>
            <w:vAlign w:val="bottom"/>
            <w:gridSpan w:val="2"/>
            <w:vMerge w:val="continue"/>
          </w:tcPr>
          <w:p>
            <w:pPr>
              <w:spacing w:after="0"/>
              <w:rPr>
                <w:sz w:val="24"/>
                <w:szCs w:val="24"/>
                <w:color w:val="auto"/>
              </w:rPr>
            </w:pPr>
          </w:p>
        </w:tc>
        <w:tc>
          <w:tcPr>
            <w:tcW w:w="220" w:type="dxa"/>
            <w:vAlign w:val="bottom"/>
            <w:tcBorders>
              <w:bottom w:val="single" w:sz="8" w:color="auto"/>
            </w:tcBorders>
            <w:vMerge w:val="continue"/>
          </w:tcPr>
          <w:p>
            <w:pPr>
              <w:spacing w:after="0"/>
              <w:rPr>
                <w:sz w:val="24"/>
                <w:szCs w:val="24"/>
                <w:color w:val="auto"/>
              </w:rPr>
            </w:pPr>
          </w:p>
        </w:tc>
        <w:tc>
          <w:tcPr>
            <w:tcW w:w="640" w:type="dxa"/>
            <w:vAlign w:val="bottom"/>
            <w:vMerge w:val="restart"/>
          </w:tcPr>
          <w:p>
            <w:pPr>
              <w:spacing w:after="0"/>
              <w:rPr>
                <w:sz w:val="24"/>
                <w:szCs w:val="24"/>
                <w:color w:val="auto"/>
              </w:rPr>
            </w:pPr>
          </w:p>
        </w:tc>
        <w:tc>
          <w:tcPr>
            <w:tcW w:w="1040" w:type="dxa"/>
            <w:vAlign w:val="bottom"/>
            <w:vMerge w:val="restart"/>
          </w:tcPr>
          <w:p>
            <w:pPr>
              <w:spacing w:after="0"/>
              <w:rPr>
                <w:sz w:val="24"/>
                <w:szCs w:val="24"/>
                <w:color w:val="auto"/>
              </w:rPr>
            </w:pPr>
          </w:p>
        </w:tc>
        <w:tc>
          <w:tcPr>
            <w:tcW w:w="300" w:type="dxa"/>
            <w:vAlign w:val="bottom"/>
            <w:vMerge w:val="restart"/>
          </w:tcPr>
          <w:p>
            <w:pPr>
              <w:spacing w:after="0"/>
              <w:rPr>
                <w:sz w:val="24"/>
                <w:szCs w:val="24"/>
                <w:color w:val="auto"/>
              </w:rPr>
            </w:pPr>
          </w:p>
        </w:tc>
        <w:tc>
          <w:tcPr>
            <w:tcW w:w="960" w:type="dxa"/>
            <w:vAlign w:val="bottom"/>
            <w:vMerge w:val="restart"/>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520" w:type="dxa"/>
            <w:vAlign w:val="bottom"/>
            <w:tcBorders>
              <w:bottom w:val="single" w:sz="8" w:color="auto"/>
            </w:tcBorders>
            <w:gridSpan w:val="2"/>
            <w:vMerge w:val="continue"/>
          </w:tcPr>
          <w:p>
            <w:pPr>
              <w:spacing w:after="0"/>
              <w:rPr>
                <w:sz w:val="3"/>
                <w:szCs w:val="3"/>
                <w:color w:val="auto"/>
              </w:rPr>
            </w:pPr>
          </w:p>
        </w:tc>
        <w:tc>
          <w:tcPr>
            <w:tcW w:w="22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1040" w:type="dxa"/>
            <w:vAlign w:val="bottom"/>
            <w:vMerge w:val="continue"/>
          </w:tcPr>
          <w:p>
            <w:pPr>
              <w:spacing w:after="0"/>
              <w:rPr>
                <w:sz w:val="3"/>
                <w:szCs w:val="3"/>
                <w:color w:val="auto"/>
              </w:rPr>
            </w:pPr>
          </w:p>
        </w:tc>
        <w:tc>
          <w:tcPr>
            <w:tcW w:w="300" w:type="dxa"/>
            <w:vAlign w:val="bottom"/>
            <w:vMerge w:val="continue"/>
          </w:tcPr>
          <w:p>
            <w:pPr>
              <w:spacing w:after="0"/>
              <w:rPr>
                <w:sz w:val="3"/>
                <w:szCs w:val="3"/>
                <w:color w:val="auto"/>
              </w:rPr>
            </w:pPr>
          </w:p>
        </w:tc>
        <w:tc>
          <w:tcPr>
            <w:tcW w:w="960" w:type="dxa"/>
            <w:vAlign w:val="bottom"/>
            <w:vMerge w:val="continue"/>
          </w:tcPr>
          <w:p>
            <w:pPr>
              <w:spacing w:after="0"/>
              <w:rPr>
                <w:sz w:val="3"/>
                <w:szCs w:val="3"/>
                <w:color w:val="auto"/>
              </w:rPr>
            </w:pPr>
          </w:p>
        </w:tc>
        <w:tc>
          <w:tcPr>
            <w:tcW w:w="1640" w:type="dxa"/>
            <w:vAlign w:val="bottom"/>
            <w:gridSpan w:val="3"/>
            <w:vMerge w:val="restart"/>
          </w:tcPr>
          <w:p>
            <w:pPr>
              <w:jc w:val="right"/>
              <w:ind w:right="138"/>
              <w:spacing w:after="0"/>
              <w:rPr>
                <w:sz w:val="20"/>
                <w:szCs w:val="20"/>
                <w:color w:val="auto"/>
              </w:rPr>
            </w:pPr>
            <w:r>
              <w:rPr>
                <w:rFonts w:ascii="Arial" w:cs="Arial" w:eastAsia="Arial" w:hAnsi="Arial"/>
                <w:sz w:val="13"/>
                <w:szCs w:val="13"/>
                <w:b w:val="1"/>
                <w:bCs w:val="1"/>
                <w:color w:val="auto"/>
              </w:rPr>
              <w:t>Three Months Ended</w:t>
            </w: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2720" w:type="dxa"/>
            <w:vAlign w:val="bottom"/>
            <w:gridSpan w:val="5"/>
            <w:vMerge w:val="restart"/>
          </w:tcPr>
          <w:p>
            <w:pPr>
              <w:spacing w:after="0"/>
              <w:rPr>
                <w:sz w:val="20"/>
                <w:szCs w:val="20"/>
                <w:color w:val="auto"/>
              </w:rPr>
            </w:pPr>
            <w:r>
              <w:rPr>
                <w:rFonts w:ascii="Arial" w:cs="Arial" w:eastAsia="Arial" w:hAnsi="Arial"/>
                <w:sz w:val="13"/>
                <w:szCs w:val="13"/>
                <w:b w:val="1"/>
                <w:bCs w:val="1"/>
                <w:color w:val="auto"/>
              </w:rPr>
              <w:t>Three Months Ended</w:t>
            </w:r>
          </w:p>
        </w:tc>
        <w:tc>
          <w:tcPr>
            <w:tcW w:w="0" w:type="dxa"/>
            <w:vAlign w:val="bottom"/>
          </w:tcPr>
          <w:p>
            <w:pPr>
              <w:spacing w:after="0"/>
              <w:rPr>
                <w:sz w:val="1"/>
                <w:szCs w:val="1"/>
                <w:color w:val="auto"/>
              </w:rPr>
            </w:pPr>
          </w:p>
        </w:tc>
      </w:tr>
      <w:tr>
        <w:trPr>
          <w:trHeight w:val="360"/>
        </w:trPr>
        <w:tc>
          <w:tcPr>
            <w:tcW w:w="114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640" w:type="dxa"/>
            <w:vAlign w:val="bottom"/>
            <w:gridSpan w:val="3"/>
            <w:vMerge w:val="continue"/>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720" w:type="dxa"/>
            <w:vAlign w:val="bottom"/>
            <w:gridSpan w:val="5"/>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240" w:type="dxa"/>
            <w:vAlign w:val="bottom"/>
            <w:tcBorders>
              <w:bottom w:val="single" w:sz="8" w:color="auto"/>
            </w:tcBorders>
            <w:gridSpan w:val="3"/>
          </w:tcPr>
          <w:p>
            <w:pPr>
              <w:ind w:left="20"/>
              <w:spacing w:after="0"/>
              <w:rPr>
                <w:sz w:val="20"/>
                <w:szCs w:val="20"/>
                <w:color w:val="auto"/>
              </w:rPr>
            </w:pPr>
            <w:r>
              <w:rPr>
                <w:rFonts w:ascii="Arial" w:cs="Arial" w:eastAsia="Arial" w:hAnsi="Arial"/>
                <w:sz w:val="13"/>
                <w:szCs w:val="13"/>
                <w:b w:val="1"/>
                <w:bCs w:val="1"/>
                <w:color w:val="auto"/>
                <w:w w:val="97"/>
              </w:rPr>
              <w:t>(thousands of United States dollars, except as noted)</w:t>
            </w:r>
          </w:p>
        </w:tc>
        <w:tc>
          <w:tcPr>
            <w:tcW w:w="2300" w:type="dxa"/>
            <w:vAlign w:val="bottom"/>
            <w:gridSpan w:val="3"/>
          </w:tcPr>
          <w:p>
            <w:pPr>
              <w:spacing w:after="0"/>
              <w:rPr>
                <w:sz w:val="13"/>
                <w:szCs w:val="13"/>
                <w:color w:val="auto"/>
              </w:rPr>
            </w:pPr>
          </w:p>
        </w:tc>
        <w:tc>
          <w:tcPr>
            <w:tcW w:w="1640" w:type="dxa"/>
            <w:vAlign w:val="bottom"/>
            <w:tcBorders>
              <w:bottom w:val="single" w:sz="8" w:color="auto"/>
            </w:tcBorders>
            <w:gridSpan w:val="3"/>
          </w:tcPr>
          <w:p>
            <w:pPr>
              <w:jc w:val="right"/>
              <w:ind w:right="298"/>
              <w:spacing w:after="0"/>
              <w:rPr>
                <w:sz w:val="20"/>
                <w:szCs w:val="20"/>
                <w:color w:val="auto"/>
              </w:rPr>
            </w:pPr>
            <w:r>
              <w:rPr>
                <w:rFonts w:ascii="Arial" w:cs="Arial" w:eastAsia="Arial" w:hAnsi="Arial"/>
                <w:sz w:val="13"/>
                <w:szCs w:val="13"/>
                <w:b w:val="1"/>
                <w:bCs w:val="1"/>
                <w:color w:val="auto"/>
              </w:rPr>
              <w:t>March 31,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298"/>
              <w:spacing w:after="0"/>
              <w:rPr>
                <w:sz w:val="20"/>
                <w:szCs w:val="20"/>
                <w:color w:val="auto"/>
              </w:rPr>
            </w:pPr>
            <w:r>
              <w:rPr>
                <w:rFonts w:ascii="Arial" w:cs="Arial" w:eastAsia="Arial" w:hAnsi="Arial"/>
                <w:sz w:val="13"/>
                <w:szCs w:val="13"/>
                <w:b w:val="1"/>
                <w:bCs w:val="1"/>
                <w:color w:val="auto"/>
                <w:w w:val="95"/>
              </w:rPr>
              <w:t>March 31, 2015</w:t>
            </w:r>
          </w:p>
        </w:tc>
        <w:tc>
          <w:tcPr>
            <w:tcW w:w="130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55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Production costs</w:t>
            </w:r>
          </w:p>
        </w:tc>
        <w:tc>
          <w:tcPr>
            <w:tcW w:w="520" w:type="dxa"/>
            <w:vAlign w:val="bottom"/>
            <w:shd w:val="clear" w:color="auto" w:fill="CCEEFF"/>
          </w:tcPr>
          <w:p>
            <w:pPr>
              <w:jc w:val="right"/>
              <w:ind w:right="79"/>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52,210</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57,096</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5540" w:type="dxa"/>
            <w:vAlign w:val="bottom"/>
            <w:gridSpan w:val="6"/>
          </w:tcPr>
          <w:p>
            <w:pPr>
              <w:ind w:left="20"/>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w:t>
            </w:r>
          </w:p>
        </w:tc>
        <w:tc>
          <w:tcPr>
            <w:tcW w:w="52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2,758</w:t>
            </w:r>
          </w:p>
        </w:tc>
        <w:tc>
          <w:tcPr>
            <w:tcW w:w="160" w:type="dxa"/>
            <w:vAlign w:val="bottom"/>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1,694</w:t>
            </w:r>
          </w:p>
        </w:tc>
        <w:tc>
          <w:tcPr>
            <w:tcW w:w="14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55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Minesite operating costs</w:t>
            </w:r>
          </w:p>
        </w:tc>
        <w:tc>
          <w:tcPr>
            <w:tcW w:w="520" w:type="dxa"/>
            <w:vAlign w:val="bottom"/>
            <w:shd w:val="clear" w:color="auto" w:fill="CCEEFF"/>
          </w:tcPr>
          <w:p>
            <w:pPr>
              <w:jc w:val="right"/>
              <w:ind w:right="79"/>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54,968</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58,790</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540" w:type="dxa"/>
            <w:vAlign w:val="bottom"/>
            <w:gridSpan w:val="6"/>
          </w:tcPr>
          <w:p>
            <w:pPr>
              <w:ind w:left="20"/>
              <w:spacing w:after="0"/>
              <w:rPr>
                <w:sz w:val="20"/>
                <w:szCs w:val="20"/>
                <w:color w:val="auto"/>
              </w:rPr>
            </w:pPr>
            <w:r>
              <w:rPr>
                <w:rFonts w:ascii="Arial" w:cs="Arial" w:eastAsia="Arial" w:hAnsi="Arial"/>
                <w:sz w:val="17"/>
                <w:szCs w:val="17"/>
                <w:color w:val="auto"/>
              </w:rPr>
              <w:t>Minesite operating costs (thousands of C$)</w:t>
            </w:r>
          </w:p>
        </w:tc>
        <w:tc>
          <w:tcPr>
            <w:tcW w:w="620" w:type="dxa"/>
            <w:vAlign w:val="bottom"/>
            <w:gridSpan w:val="2"/>
          </w:tcPr>
          <w:p>
            <w:pPr>
              <w:jc w:val="right"/>
              <w:ind w:right="335"/>
              <w:spacing w:after="0"/>
              <w:rPr>
                <w:sz w:val="20"/>
                <w:szCs w:val="20"/>
                <w:color w:val="auto"/>
              </w:rPr>
            </w:pPr>
            <w:r>
              <w:rPr>
                <w:rFonts w:ascii="Arial" w:cs="Arial" w:eastAsia="Arial" w:hAnsi="Arial"/>
                <w:sz w:val="17"/>
                <w:szCs w:val="17"/>
                <w:color w:val="auto"/>
                <w:w w:val="82"/>
              </w:rPr>
              <w:t>C$</w:t>
            </w:r>
          </w:p>
        </w:tc>
        <w:tc>
          <w:tcPr>
            <w:tcW w:w="1020" w:type="dxa"/>
            <w:vAlign w:val="bottom"/>
          </w:tcPr>
          <w:p>
            <w:pPr>
              <w:jc w:val="right"/>
              <w:spacing w:after="0"/>
              <w:rPr>
                <w:sz w:val="20"/>
                <w:szCs w:val="20"/>
                <w:color w:val="auto"/>
              </w:rPr>
            </w:pPr>
            <w:r>
              <w:rPr>
                <w:rFonts w:ascii="Arial" w:cs="Arial" w:eastAsia="Arial" w:hAnsi="Arial"/>
                <w:sz w:val="17"/>
                <w:szCs w:val="17"/>
                <w:color w:val="auto"/>
              </w:rPr>
              <w:t>73,058</w:t>
            </w:r>
          </w:p>
        </w:tc>
        <w:tc>
          <w:tcPr>
            <w:tcW w:w="160" w:type="dxa"/>
            <w:vAlign w:val="bottom"/>
          </w:tcPr>
          <w:p>
            <w:pPr>
              <w:spacing w:after="0"/>
              <w:rPr>
                <w:sz w:val="18"/>
                <w:szCs w:val="18"/>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7"/>
                <w:szCs w:val="17"/>
                <w:color w:val="auto"/>
                <w:w w:val="82"/>
              </w:rPr>
              <w:t>C$</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70,627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5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Tonnes of ore milled (thousands of tonnes)</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946</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990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5540" w:type="dxa"/>
            <w:vAlign w:val="bottom"/>
            <w:gridSpan w:val="6"/>
            <w:vMerge w:val="restart"/>
          </w:tcPr>
          <w:p>
            <w:pPr>
              <w:ind w:left="20"/>
              <w:spacing w:after="0" w:line="314" w:lineRule="exact"/>
              <w:rPr>
                <w:sz w:val="20"/>
                <w:szCs w:val="20"/>
                <w:color w:val="auto"/>
              </w:rPr>
            </w:pPr>
            <w:r>
              <w:rPr>
                <w:rFonts w:ascii="Arial" w:cs="Arial" w:eastAsia="Arial" w:hAnsi="Arial"/>
                <w:sz w:val="17"/>
                <w:szCs w:val="17"/>
                <w:color w:val="auto"/>
              </w:rPr>
              <w:t>Minesite costs per tonne (C$)</w:t>
            </w:r>
            <w:r>
              <w:rPr>
                <w:rFonts w:ascii="Arial" w:cs="Arial" w:eastAsia="Arial" w:hAnsi="Arial"/>
                <w:sz w:val="28"/>
                <w:szCs w:val="28"/>
                <w:color w:val="auto"/>
                <w:vertAlign w:val="superscript"/>
              </w:rPr>
              <w:t>(iii)</w:t>
            </w:r>
          </w:p>
        </w:tc>
        <w:tc>
          <w:tcPr>
            <w:tcW w:w="620" w:type="dxa"/>
            <w:vAlign w:val="bottom"/>
            <w:tcBorders>
              <w:bottom w:val="single" w:sz="8" w:color="auto"/>
            </w:tcBorders>
            <w:gridSpan w:val="2"/>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Borders>
              <w:bottom w:val="single" w:sz="8" w:color="auto"/>
            </w:tcBorders>
            <w:gridSpan w:val="2"/>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1140" w:type="dxa"/>
            <w:vAlign w:val="bottom"/>
          </w:tcPr>
          <w:p>
            <w:pPr>
              <w:spacing w:after="0"/>
              <w:rPr>
                <w:sz w:val="23"/>
                <w:szCs w:val="23"/>
                <w:color w:val="auto"/>
              </w:rPr>
            </w:pPr>
          </w:p>
        </w:tc>
        <w:tc>
          <w:tcPr>
            <w:tcW w:w="5540" w:type="dxa"/>
            <w:vAlign w:val="bottom"/>
            <w:gridSpan w:val="6"/>
            <w:vMerge w:val="continue"/>
          </w:tcPr>
          <w:p>
            <w:pPr>
              <w:spacing w:after="0"/>
              <w:rPr>
                <w:sz w:val="23"/>
                <w:szCs w:val="23"/>
                <w:color w:val="auto"/>
              </w:rPr>
            </w:pPr>
          </w:p>
        </w:tc>
        <w:tc>
          <w:tcPr>
            <w:tcW w:w="620" w:type="dxa"/>
            <w:vAlign w:val="bottom"/>
            <w:gridSpan w:val="2"/>
          </w:tcPr>
          <w:p>
            <w:pPr>
              <w:jc w:val="right"/>
              <w:ind w:right="335"/>
              <w:spacing w:after="0"/>
              <w:rPr>
                <w:sz w:val="20"/>
                <w:szCs w:val="20"/>
                <w:color w:val="auto"/>
              </w:rPr>
            </w:pPr>
            <w:r>
              <w:rPr>
                <w:rFonts w:ascii="Arial" w:cs="Arial" w:eastAsia="Arial" w:hAnsi="Arial"/>
                <w:sz w:val="17"/>
                <w:szCs w:val="17"/>
                <w:color w:val="auto"/>
                <w:w w:val="82"/>
              </w:rPr>
              <w:t>C$</w:t>
            </w:r>
          </w:p>
        </w:tc>
        <w:tc>
          <w:tcPr>
            <w:tcW w:w="1020" w:type="dxa"/>
            <w:vAlign w:val="bottom"/>
          </w:tcPr>
          <w:p>
            <w:pPr>
              <w:jc w:val="right"/>
              <w:spacing w:after="0"/>
              <w:rPr>
                <w:sz w:val="20"/>
                <w:szCs w:val="20"/>
                <w:color w:val="auto"/>
              </w:rPr>
            </w:pPr>
            <w:r>
              <w:rPr>
                <w:rFonts w:ascii="Arial" w:cs="Arial" w:eastAsia="Arial" w:hAnsi="Arial"/>
                <w:sz w:val="17"/>
                <w:szCs w:val="17"/>
                <w:color w:val="auto"/>
              </w:rPr>
              <w:t>77</w:t>
            </w:r>
          </w:p>
        </w:tc>
        <w:tc>
          <w:tcPr>
            <w:tcW w:w="160" w:type="dxa"/>
            <w:vAlign w:val="bottom"/>
          </w:tcPr>
          <w:p>
            <w:pPr>
              <w:spacing w:after="0"/>
              <w:rPr>
                <w:sz w:val="23"/>
                <w:szCs w:val="23"/>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7"/>
                <w:szCs w:val="17"/>
                <w:color w:val="auto"/>
                <w:w w:val="82"/>
              </w:rPr>
              <w:t>C$</w:t>
            </w:r>
          </w:p>
        </w:tc>
        <w:tc>
          <w:tcPr>
            <w:tcW w:w="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71</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5420" w:type="dxa"/>
            <w:vAlign w:val="bottom"/>
            <w:gridSpan w:val="5"/>
            <w:vMerge w:val="restart"/>
          </w:tcPr>
          <w:p>
            <w:pPr>
              <w:spacing w:after="0"/>
              <w:rPr>
                <w:sz w:val="20"/>
                <w:szCs w:val="20"/>
                <w:color w:val="auto"/>
              </w:rPr>
            </w:pPr>
            <w:r>
              <w:rPr>
                <w:rFonts w:ascii="Arial" w:cs="Arial" w:eastAsia="Arial" w:hAnsi="Arial"/>
                <w:sz w:val="17"/>
                <w:szCs w:val="17"/>
                <w:b w:val="1"/>
                <w:bCs w:val="1"/>
                <w:color w:val="auto"/>
                <w:w w:val="91"/>
              </w:rPr>
              <w:t>Canadian Malartic Mine — Total Cash Costs per Ounce of Gold Produced</w:t>
            </w:r>
          </w:p>
        </w:tc>
        <w:tc>
          <w:tcPr>
            <w:tcW w:w="300" w:type="dxa"/>
            <w:vAlign w:val="bottom"/>
            <w:vMerge w:val="restart"/>
          </w:tcPr>
          <w:p>
            <w:pPr>
              <w:spacing w:after="0"/>
              <w:rPr>
                <w:sz w:val="20"/>
                <w:szCs w:val="20"/>
                <w:color w:val="auto"/>
              </w:rPr>
            </w:pPr>
            <w:r>
              <w:rPr>
                <w:rFonts w:ascii="Arial" w:cs="Arial" w:eastAsia="Arial" w:hAnsi="Arial"/>
                <w:sz w:val="14"/>
                <w:szCs w:val="14"/>
                <w:b w:val="1"/>
                <w:bCs w:val="1"/>
                <w:color w:val="auto"/>
                <w:w w:val="92"/>
              </w:rPr>
              <w:t>(i)(ii)</w:t>
            </w:r>
          </w:p>
        </w:tc>
        <w:tc>
          <w:tcPr>
            <w:tcW w:w="96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5420" w:type="dxa"/>
            <w:vAlign w:val="bottom"/>
            <w:gridSpan w:val="5"/>
            <w:vMerge w:val="continue"/>
          </w:tcPr>
          <w:p>
            <w:pPr>
              <w:spacing w:after="0"/>
              <w:rPr>
                <w:sz w:val="24"/>
                <w:szCs w:val="24"/>
                <w:color w:val="auto"/>
              </w:rPr>
            </w:pPr>
          </w:p>
        </w:tc>
        <w:tc>
          <w:tcPr>
            <w:tcW w:w="300" w:type="dxa"/>
            <w:vAlign w:val="bottom"/>
            <w:tcBorders>
              <w:bottom w:val="single" w:sz="8" w:color="auto"/>
            </w:tcBorders>
            <w:vMerge w:val="continue"/>
          </w:tcPr>
          <w:p>
            <w:pPr>
              <w:spacing w:after="0"/>
              <w:rPr>
                <w:sz w:val="24"/>
                <w:szCs w:val="24"/>
                <w:color w:val="auto"/>
              </w:rPr>
            </w:pPr>
          </w:p>
        </w:tc>
        <w:tc>
          <w:tcPr>
            <w:tcW w:w="960" w:type="dxa"/>
            <w:vAlign w:val="bottom"/>
            <w:vMerge w:val="restart"/>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5420" w:type="dxa"/>
            <w:vAlign w:val="bottom"/>
            <w:tcBorders>
              <w:bottom w:val="single" w:sz="8" w:color="auto"/>
            </w:tcBorders>
            <w:gridSpan w:val="5"/>
            <w:vMerge w:val="continue"/>
          </w:tcPr>
          <w:p>
            <w:pPr>
              <w:spacing w:after="0"/>
              <w:rPr>
                <w:sz w:val="3"/>
                <w:szCs w:val="3"/>
                <w:color w:val="auto"/>
              </w:rPr>
            </w:pPr>
          </w:p>
        </w:tc>
        <w:tc>
          <w:tcPr>
            <w:tcW w:w="300" w:type="dxa"/>
            <w:vAlign w:val="bottom"/>
          </w:tcPr>
          <w:p>
            <w:pPr>
              <w:spacing w:after="0"/>
              <w:rPr>
                <w:sz w:val="3"/>
                <w:szCs w:val="3"/>
                <w:color w:val="auto"/>
              </w:rPr>
            </w:pPr>
          </w:p>
        </w:tc>
        <w:tc>
          <w:tcPr>
            <w:tcW w:w="960" w:type="dxa"/>
            <w:vAlign w:val="bottom"/>
            <w:vMerge w:val="continue"/>
          </w:tcPr>
          <w:p>
            <w:pPr>
              <w:spacing w:after="0"/>
              <w:rPr>
                <w:sz w:val="3"/>
                <w:szCs w:val="3"/>
                <w:color w:val="auto"/>
              </w:rPr>
            </w:pPr>
          </w:p>
        </w:tc>
        <w:tc>
          <w:tcPr>
            <w:tcW w:w="5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400" w:type="dxa"/>
            <w:vAlign w:val="bottom"/>
            <w:gridSpan w:val="4"/>
            <w:vMerge w:val="restart"/>
          </w:tcPr>
          <w:p>
            <w:pPr>
              <w:jc w:val="center"/>
              <w:ind w:right="200"/>
              <w:spacing w:after="0"/>
              <w:rPr>
                <w:sz w:val="20"/>
                <w:szCs w:val="20"/>
                <w:color w:val="auto"/>
              </w:rPr>
            </w:pPr>
            <w:r>
              <w:rPr>
                <w:rFonts w:ascii="Arial" w:cs="Arial" w:eastAsia="Arial" w:hAnsi="Arial"/>
                <w:sz w:val="13"/>
                <w:szCs w:val="13"/>
                <w:b w:val="1"/>
                <w:bCs w:val="1"/>
                <w:color w:val="auto"/>
                <w:w w:val="93"/>
              </w:rPr>
              <w:t>Three Months Ended</w:t>
            </w: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580" w:type="dxa"/>
            <w:vAlign w:val="bottom"/>
            <w:gridSpan w:val="3"/>
            <w:vMerge w:val="restart"/>
          </w:tcPr>
          <w:p>
            <w:pPr>
              <w:jc w:val="center"/>
              <w:ind w:right="1400"/>
              <w:spacing w:after="0"/>
              <w:rPr>
                <w:sz w:val="20"/>
                <w:szCs w:val="20"/>
                <w:color w:val="auto"/>
              </w:rPr>
            </w:pPr>
            <w:r>
              <w:rPr>
                <w:rFonts w:ascii="Arial" w:cs="Arial" w:eastAsia="Arial" w:hAnsi="Arial"/>
                <w:sz w:val="13"/>
                <w:szCs w:val="13"/>
                <w:b w:val="1"/>
                <w:bCs w:val="1"/>
                <w:color w:val="auto"/>
                <w:w w:val="91"/>
              </w:rPr>
              <w:t>Three Months Ended</w:t>
            </w:r>
          </w:p>
        </w:tc>
        <w:tc>
          <w:tcPr>
            <w:tcW w:w="0" w:type="dxa"/>
            <w:vAlign w:val="bottom"/>
          </w:tcPr>
          <w:p>
            <w:pPr>
              <w:spacing w:after="0"/>
              <w:rPr>
                <w:sz w:val="1"/>
                <w:szCs w:val="1"/>
                <w:color w:val="auto"/>
              </w:rPr>
            </w:pPr>
          </w:p>
        </w:tc>
      </w:tr>
      <w:tr>
        <w:trPr>
          <w:trHeight w:val="360"/>
        </w:trPr>
        <w:tc>
          <w:tcPr>
            <w:tcW w:w="114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0" w:type="dxa"/>
            <w:vAlign w:val="bottom"/>
            <w:gridSpan w:val="4"/>
            <w:vMerge w:val="continue"/>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580" w:type="dxa"/>
            <w:vAlign w:val="bottom"/>
            <w:gridSpan w:val="3"/>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240" w:type="dxa"/>
            <w:vAlign w:val="bottom"/>
            <w:tcBorders>
              <w:bottom w:val="single" w:sz="8" w:color="auto"/>
            </w:tcBorders>
            <w:gridSpan w:val="3"/>
          </w:tcPr>
          <w:p>
            <w:pPr>
              <w:ind w:left="20"/>
              <w:spacing w:after="0"/>
              <w:rPr>
                <w:sz w:val="20"/>
                <w:szCs w:val="20"/>
                <w:color w:val="auto"/>
              </w:rPr>
            </w:pPr>
            <w:r>
              <w:rPr>
                <w:rFonts w:ascii="Arial" w:cs="Arial" w:eastAsia="Arial" w:hAnsi="Arial"/>
                <w:sz w:val="13"/>
                <w:szCs w:val="13"/>
                <w:b w:val="1"/>
                <w:bCs w:val="1"/>
                <w:color w:val="auto"/>
                <w:w w:val="97"/>
              </w:rPr>
              <w:t>(thousands of United States dollars, except as noted)</w:t>
            </w:r>
          </w:p>
        </w:tc>
        <w:tc>
          <w:tcPr>
            <w:tcW w:w="2300" w:type="dxa"/>
            <w:vAlign w:val="bottom"/>
            <w:gridSpan w:val="3"/>
          </w:tcPr>
          <w:p>
            <w:pPr>
              <w:spacing w:after="0"/>
              <w:rPr>
                <w:sz w:val="13"/>
                <w:szCs w:val="13"/>
                <w:color w:val="auto"/>
              </w:rPr>
            </w:pPr>
          </w:p>
        </w:tc>
        <w:tc>
          <w:tcPr>
            <w:tcW w:w="52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center"/>
              <w:ind w:left="78"/>
              <w:spacing w:after="0"/>
              <w:rPr>
                <w:sz w:val="20"/>
                <w:szCs w:val="20"/>
                <w:color w:val="auto"/>
              </w:rPr>
            </w:pPr>
            <w:r>
              <w:rPr>
                <w:rFonts w:ascii="Arial" w:cs="Arial" w:eastAsia="Arial" w:hAnsi="Arial"/>
                <w:sz w:val="13"/>
                <w:szCs w:val="13"/>
                <w:b w:val="1"/>
                <w:bCs w:val="1"/>
                <w:color w:val="auto"/>
                <w:w w:val="92"/>
              </w:rPr>
              <w:t>March 31, 2016</w:t>
            </w:r>
          </w:p>
        </w:tc>
        <w:tc>
          <w:tcPr>
            <w:tcW w:w="16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ind w:right="18"/>
              <w:spacing w:after="0"/>
              <w:rPr>
                <w:sz w:val="20"/>
                <w:szCs w:val="20"/>
                <w:color w:val="auto"/>
              </w:rPr>
            </w:pPr>
            <w:r>
              <w:rPr>
                <w:rFonts w:ascii="Arial" w:cs="Arial" w:eastAsia="Arial" w:hAnsi="Arial"/>
                <w:sz w:val="13"/>
                <w:szCs w:val="13"/>
                <w:b w:val="1"/>
                <w:bCs w:val="1"/>
                <w:color w:val="auto"/>
                <w:w w:val="92"/>
              </w:rPr>
              <w:t>March 31, 2015</w:t>
            </w:r>
          </w:p>
        </w:tc>
        <w:tc>
          <w:tcPr>
            <w:tcW w:w="130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55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Production costs</w:t>
            </w: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0" w:type="dxa"/>
            <w:vAlign w:val="bottom"/>
            <w:gridSpan w:val="4"/>
            <w:shd w:val="clear" w:color="auto" w:fill="CCEEFF"/>
          </w:tcPr>
          <w:p>
            <w:pPr>
              <w:jc w:val="right"/>
              <w:ind w:right="120"/>
              <w:spacing w:after="0"/>
              <w:rPr>
                <w:sz w:val="20"/>
                <w:szCs w:val="20"/>
                <w:color w:val="auto"/>
              </w:rPr>
            </w:pPr>
            <w:r>
              <w:rPr>
                <w:rFonts w:ascii="Arial" w:cs="Arial" w:eastAsia="Arial" w:hAnsi="Arial"/>
                <w:sz w:val="17"/>
                <w:szCs w:val="17"/>
                <w:color w:val="auto"/>
              </w:rPr>
              <w:t>40,814</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41,186</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540" w:type="dxa"/>
            <w:vAlign w:val="bottom"/>
            <w:gridSpan w:val="6"/>
          </w:tcPr>
          <w:p>
            <w:pPr>
              <w:ind w:left="20"/>
              <w:spacing w:after="0"/>
              <w:rPr>
                <w:sz w:val="20"/>
                <w:szCs w:val="20"/>
                <w:color w:val="auto"/>
              </w:rPr>
            </w:pPr>
            <w:r>
              <w:rPr>
                <w:rFonts w:ascii="Arial" w:cs="Arial" w:eastAsia="Arial" w:hAnsi="Arial"/>
                <w:sz w:val="17"/>
                <w:szCs w:val="17"/>
                <w:color w:val="auto"/>
              </w:rPr>
              <w:t>Adjustments:</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5540" w:type="dxa"/>
            <w:vAlign w:val="bottom"/>
            <w:gridSpan w:val="6"/>
            <w:shd w:val="clear" w:color="auto" w:fill="CCEEFF"/>
          </w:tcPr>
          <w:p>
            <w:pPr>
              <w:ind w:left="360"/>
              <w:spacing w:after="0" w:line="249"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(iv)</w:t>
            </w:r>
          </w:p>
        </w:tc>
        <w:tc>
          <w:tcPr>
            <w:tcW w:w="5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00" w:type="dxa"/>
            <w:vAlign w:val="bottom"/>
            <w:gridSpan w:val="4"/>
            <w:shd w:val="clear" w:color="auto" w:fill="CCEEFF"/>
          </w:tcPr>
          <w:p>
            <w:pPr>
              <w:jc w:val="right"/>
              <w:ind w:right="120"/>
              <w:spacing w:after="0"/>
              <w:rPr>
                <w:sz w:val="20"/>
                <w:szCs w:val="20"/>
                <w:color w:val="auto"/>
              </w:rPr>
            </w:pPr>
            <w:r>
              <w:rPr>
                <w:rFonts w:ascii="Arial" w:cs="Arial" w:eastAsia="Arial" w:hAnsi="Arial"/>
                <w:sz w:val="17"/>
                <w:szCs w:val="17"/>
                <w:color w:val="auto"/>
              </w:rPr>
              <w:t>1,309</w:t>
            </w:r>
          </w:p>
        </w:tc>
        <w:tc>
          <w:tcPr>
            <w:tcW w:w="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2,851</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5540" w:type="dxa"/>
            <w:vAlign w:val="bottom"/>
            <w:gridSpan w:val="6"/>
            <w:vMerge w:val="restart"/>
          </w:tcPr>
          <w:p>
            <w:pPr>
              <w:ind w:left="20"/>
              <w:spacing w:after="0"/>
              <w:rPr>
                <w:sz w:val="20"/>
                <w:szCs w:val="20"/>
                <w:color w:val="auto"/>
              </w:rPr>
            </w:pPr>
            <w:r>
              <w:rPr>
                <w:rFonts w:ascii="Arial" w:cs="Arial" w:eastAsia="Arial" w:hAnsi="Arial"/>
                <w:sz w:val="17"/>
                <w:szCs w:val="17"/>
                <w:color w:val="auto"/>
              </w:rPr>
              <w:t>Cash operating costs (co-product basis)</w:t>
            </w:r>
          </w:p>
        </w:tc>
        <w:tc>
          <w:tcPr>
            <w:tcW w:w="620" w:type="dxa"/>
            <w:vAlign w:val="bottom"/>
            <w:gridSpan w:val="2"/>
          </w:tcPr>
          <w:p>
            <w:pPr>
              <w:spacing w:after="0"/>
              <w:rPr>
                <w:sz w:val="2"/>
                <w:szCs w:val="2"/>
                <w:color w:val="auto"/>
              </w:rPr>
            </w:pPr>
          </w:p>
        </w:tc>
        <w:tc>
          <w:tcPr>
            <w:tcW w:w="1400" w:type="dxa"/>
            <w:vAlign w:val="bottom"/>
            <w:gridSpan w:val="4"/>
          </w:tcPr>
          <w:p>
            <w:pPr>
              <w:spacing w:after="0"/>
              <w:rPr>
                <w:sz w:val="2"/>
                <w:szCs w:val="2"/>
                <w:color w:val="auto"/>
              </w:rPr>
            </w:pPr>
          </w:p>
        </w:tc>
        <w:tc>
          <w:tcPr>
            <w:tcW w:w="140" w:type="dxa"/>
            <w:vAlign w:val="bottom"/>
            <w:gridSpan w:val="2"/>
          </w:tcPr>
          <w:p>
            <w:pPr>
              <w:spacing w:after="0"/>
              <w:rPr>
                <w:sz w:val="2"/>
                <w:szCs w:val="2"/>
                <w:color w:val="auto"/>
              </w:rPr>
            </w:pPr>
          </w:p>
        </w:tc>
        <w:tc>
          <w:tcPr>
            <w:tcW w:w="142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5540" w:type="dxa"/>
            <w:vAlign w:val="bottom"/>
            <w:gridSpan w:val="6"/>
            <w:vMerge w:val="continue"/>
          </w:tcPr>
          <w:p>
            <w:pPr>
              <w:spacing w:after="0"/>
              <w:rPr>
                <w:sz w:val="17"/>
                <w:szCs w:val="17"/>
                <w:color w:val="auto"/>
              </w:rPr>
            </w:pPr>
          </w:p>
        </w:tc>
        <w:tc>
          <w:tcPr>
            <w:tcW w:w="52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3"/>
          </w:tcPr>
          <w:p>
            <w:pPr>
              <w:jc w:val="right"/>
              <w:spacing w:after="0"/>
              <w:rPr>
                <w:sz w:val="20"/>
                <w:szCs w:val="20"/>
                <w:color w:val="auto"/>
              </w:rPr>
            </w:pPr>
            <w:r>
              <w:rPr>
                <w:rFonts w:ascii="Arial" w:cs="Arial" w:eastAsia="Arial" w:hAnsi="Arial"/>
                <w:sz w:val="17"/>
                <w:szCs w:val="17"/>
                <w:color w:val="auto"/>
              </w:rPr>
              <w:t>42,123</w:t>
            </w: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44,037</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540" w:type="dxa"/>
            <w:vAlign w:val="bottom"/>
            <w:gridSpan w:val="6"/>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0" w:type="dxa"/>
            <w:vAlign w:val="bottom"/>
            <w:gridSpan w:val="4"/>
            <w:shd w:val="clear" w:color="auto" w:fill="CCEEFF"/>
          </w:tcPr>
          <w:p>
            <w:pPr>
              <w:jc w:val="right"/>
              <w:ind w:right="60"/>
              <w:spacing w:after="0"/>
              <w:rPr>
                <w:sz w:val="20"/>
                <w:szCs w:val="20"/>
                <w:color w:val="auto"/>
              </w:rPr>
            </w:pPr>
            <w:r>
              <w:rPr>
                <w:rFonts w:ascii="Arial" w:cs="Arial" w:eastAsia="Arial" w:hAnsi="Arial"/>
                <w:sz w:val="17"/>
                <w:szCs w:val="17"/>
                <w:color w:val="auto"/>
              </w:rPr>
              <w:t>(1,095)</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(1,142)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5540" w:type="dxa"/>
            <w:vAlign w:val="bottom"/>
            <w:gridSpan w:val="6"/>
            <w:vMerge w:val="restart"/>
          </w:tcPr>
          <w:p>
            <w:pPr>
              <w:ind w:left="20"/>
              <w:spacing w:after="0"/>
              <w:rPr>
                <w:sz w:val="20"/>
                <w:szCs w:val="20"/>
                <w:color w:val="auto"/>
              </w:rPr>
            </w:pPr>
            <w:r>
              <w:rPr>
                <w:rFonts w:ascii="Arial" w:cs="Arial" w:eastAsia="Arial" w:hAnsi="Arial"/>
                <w:sz w:val="17"/>
                <w:szCs w:val="17"/>
                <w:color w:val="auto"/>
              </w:rPr>
              <w:t>Cash operating costs (by-product basis)</w:t>
            </w:r>
          </w:p>
        </w:tc>
        <w:tc>
          <w:tcPr>
            <w:tcW w:w="620" w:type="dxa"/>
            <w:vAlign w:val="bottom"/>
            <w:gridSpan w:val="2"/>
          </w:tcPr>
          <w:p>
            <w:pPr>
              <w:spacing w:after="0"/>
              <w:rPr>
                <w:sz w:val="2"/>
                <w:szCs w:val="2"/>
                <w:color w:val="auto"/>
              </w:rPr>
            </w:pPr>
          </w:p>
        </w:tc>
        <w:tc>
          <w:tcPr>
            <w:tcW w:w="1400" w:type="dxa"/>
            <w:vAlign w:val="bottom"/>
            <w:gridSpan w:val="4"/>
          </w:tcPr>
          <w:p>
            <w:pPr>
              <w:spacing w:after="0"/>
              <w:rPr>
                <w:sz w:val="2"/>
                <w:szCs w:val="2"/>
                <w:color w:val="auto"/>
              </w:rPr>
            </w:pPr>
          </w:p>
        </w:tc>
        <w:tc>
          <w:tcPr>
            <w:tcW w:w="140" w:type="dxa"/>
            <w:vAlign w:val="bottom"/>
            <w:gridSpan w:val="2"/>
          </w:tcPr>
          <w:p>
            <w:pPr>
              <w:spacing w:after="0"/>
              <w:rPr>
                <w:sz w:val="2"/>
                <w:szCs w:val="2"/>
                <w:color w:val="auto"/>
              </w:rPr>
            </w:pPr>
          </w:p>
        </w:tc>
        <w:tc>
          <w:tcPr>
            <w:tcW w:w="142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5540" w:type="dxa"/>
            <w:vAlign w:val="bottom"/>
            <w:gridSpan w:val="6"/>
            <w:vMerge w:val="continue"/>
          </w:tcPr>
          <w:p>
            <w:pPr>
              <w:spacing w:after="0"/>
              <w:rPr>
                <w:sz w:val="17"/>
                <w:szCs w:val="17"/>
                <w:color w:val="auto"/>
              </w:rPr>
            </w:pPr>
          </w:p>
        </w:tc>
        <w:tc>
          <w:tcPr>
            <w:tcW w:w="52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3"/>
          </w:tcPr>
          <w:p>
            <w:pPr>
              <w:jc w:val="right"/>
              <w:spacing w:after="0"/>
              <w:rPr>
                <w:sz w:val="20"/>
                <w:szCs w:val="20"/>
                <w:color w:val="auto"/>
              </w:rPr>
            </w:pPr>
            <w:r>
              <w:rPr>
                <w:rFonts w:ascii="Arial" w:cs="Arial" w:eastAsia="Arial" w:hAnsi="Arial"/>
                <w:sz w:val="17"/>
                <w:szCs w:val="17"/>
                <w:color w:val="auto"/>
              </w:rPr>
              <w:t>41,028</w:t>
            </w: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42,895</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55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Gold production (ounces)</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0" w:type="dxa"/>
            <w:vAlign w:val="bottom"/>
            <w:gridSpan w:val="4"/>
            <w:shd w:val="clear" w:color="auto" w:fill="CCEEFF"/>
          </w:tcPr>
          <w:p>
            <w:pPr>
              <w:jc w:val="right"/>
              <w:ind w:right="120"/>
              <w:spacing w:after="0"/>
              <w:rPr>
                <w:sz w:val="20"/>
                <w:szCs w:val="20"/>
                <w:color w:val="auto"/>
              </w:rPr>
            </w:pPr>
            <w:r>
              <w:rPr>
                <w:rFonts w:ascii="Arial" w:cs="Arial" w:eastAsia="Arial" w:hAnsi="Arial"/>
                <w:sz w:val="17"/>
                <w:szCs w:val="17"/>
                <w:color w:val="auto"/>
              </w:rPr>
              <w:t>73,613</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67,893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5540" w:type="dxa"/>
            <w:vAlign w:val="bottom"/>
            <w:gridSpan w:val="6"/>
          </w:tcPr>
          <w:p>
            <w:pPr>
              <w:ind w:left="20"/>
              <w:spacing w:after="0" w:line="276" w:lineRule="exact"/>
              <w:rPr>
                <w:sz w:val="20"/>
                <w:szCs w:val="20"/>
                <w:color w:val="auto"/>
              </w:rPr>
            </w:pPr>
            <w:r>
              <w:rPr>
                <w:rFonts w:ascii="Arial" w:cs="Arial" w:eastAsia="Arial" w:hAnsi="Arial"/>
                <w:sz w:val="17"/>
                <w:szCs w:val="17"/>
                <w:color w:val="auto"/>
              </w:rPr>
              <w:t>Total cash costs per ounce of gold produced ($ per ounce)</w:t>
            </w:r>
            <w:r>
              <w:rPr>
                <w:rFonts w:ascii="Arial" w:cs="Arial" w:eastAsia="Arial" w:hAnsi="Arial"/>
                <w:sz w:val="28"/>
                <w:szCs w:val="28"/>
                <w:color w:val="auto"/>
                <w:vertAlign w:val="superscript"/>
              </w:rPr>
              <w:t>(ii)</w:t>
            </w:r>
            <w:r>
              <w:rPr>
                <w:rFonts w:ascii="Arial" w:cs="Arial" w:eastAsia="Arial" w:hAnsi="Arial"/>
                <w:sz w:val="17"/>
                <w:szCs w:val="17"/>
                <w:color w:val="auto"/>
              </w:rPr>
              <w:t>:</w:t>
            </w:r>
          </w:p>
        </w:tc>
        <w:tc>
          <w:tcPr>
            <w:tcW w:w="520" w:type="dxa"/>
            <w:vAlign w:val="bottom"/>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280" w:type="dxa"/>
            <w:vAlign w:val="bottom"/>
            <w:tcBorders>
              <w:bottom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5540" w:type="dxa"/>
            <w:vAlign w:val="bottom"/>
            <w:gridSpan w:val="6"/>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20" w:type="dxa"/>
            <w:vAlign w:val="bottom"/>
            <w:shd w:val="clear" w:color="auto" w:fill="CCEEFF"/>
          </w:tcPr>
          <w:p>
            <w:pPr>
              <w:spacing w:after="0"/>
              <w:rPr>
                <w:sz w:val="17"/>
                <w:szCs w:val="17"/>
                <w:color w:val="auto"/>
              </w:rPr>
            </w:pPr>
          </w:p>
        </w:tc>
        <w:tc>
          <w:tcPr>
            <w:tcW w:w="380" w:type="dxa"/>
            <w:vAlign w:val="bottom"/>
            <w:gridSpan w:val="3"/>
            <w:shd w:val="clear" w:color="auto" w:fill="CCEEFF"/>
          </w:tcPr>
          <w:p>
            <w:pPr>
              <w:jc w:val="right"/>
              <w:ind w:right="120"/>
              <w:spacing w:after="0"/>
              <w:rPr>
                <w:sz w:val="20"/>
                <w:szCs w:val="20"/>
                <w:color w:val="auto"/>
              </w:rPr>
            </w:pPr>
            <w:r>
              <w:rPr>
                <w:rFonts w:ascii="Arial" w:cs="Arial" w:eastAsia="Arial" w:hAnsi="Arial"/>
                <w:sz w:val="17"/>
                <w:szCs w:val="17"/>
                <w:color w:val="auto"/>
                <w:w w:val="84"/>
              </w:rPr>
              <w:t>572</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649</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5540" w:type="dxa"/>
            <w:vAlign w:val="bottom"/>
            <w:gridSpan w:val="6"/>
            <w:vMerge w:val="restart"/>
          </w:tcPr>
          <w:p>
            <w:pPr>
              <w:ind w:left="180"/>
              <w:spacing w:after="0"/>
              <w:rPr>
                <w:sz w:val="20"/>
                <w:szCs w:val="20"/>
                <w:color w:val="auto"/>
              </w:rPr>
            </w:pPr>
            <w:r>
              <w:rPr>
                <w:rFonts w:ascii="Arial" w:cs="Arial" w:eastAsia="Arial" w:hAnsi="Arial"/>
                <w:sz w:val="17"/>
                <w:szCs w:val="17"/>
                <w:color w:val="auto"/>
              </w:rPr>
              <w:t>By-product basis</w:t>
            </w:r>
          </w:p>
        </w:tc>
        <w:tc>
          <w:tcPr>
            <w:tcW w:w="5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gridSpan w:val="2"/>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540" w:type="dxa"/>
            <w:vAlign w:val="bottom"/>
            <w:gridSpan w:val="6"/>
            <w:vMerge w:val="continue"/>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42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1140" w:type="dxa"/>
            <w:vAlign w:val="bottom"/>
          </w:tcPr>
          <w:p>
            <w:pPr>
              <w:spacing w:after="0"/>
              <w:rPr>
                <w:sz w:val="16"/>
                <w:szCs w:val="16"/>
                <w:color w:val="auto"/>
              </w:rPr>
            </w:pPr>
          </w:p>
        </w:tc>
        <w:tc>
          <w:tcPr>
            <w:tcW w:w="5540" w:type="dxa"/>
            <w:vAlign w:val="bottom"/>
            <w:gridSpan w:val="6"/>
            <w:vMerge w:val="continue"/>
          </w:tcPr>
          <w:p>
            <w:pPr>
              <w:spacing w:after="0"/>
              <w:rPr>
                <w:sz w:val="16"/>
                <w:szCs w:val="16"/>
                <w:color w:val="auto"/>
              </w:rPr>
            </w:pPr>
          </w:p>
        </w:tc>
        <w:tc>
          <w:tcPr>
            <w:tcW w:w="52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020" w:type="dxa"/>
            <w:vAlign w:val="bottom"/>
            <w:tcBorders>
              <w:top w:val="single" w:sz="8" w:color="auto"/>
            </w:tcBorders>
          </w:tcPr>
          <w:p>
            <w:pPr>
              <w:spacing w:after="0"/>
              <w:rPr>
                <w:sz w:val="16"/>
                <w:szCs w:val="16"/>
                <w:color w:val="auto"/>
              </w:rPr>
            </w:pPr>
          </w:p>
        </w:tc>
        <w:tc>
          <w:tcPr>
            <w:tcW w:w="26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w w:val="84"/>
              </w:rPr>
              <w:t>557</w:t>
            </w:r>
          </w:p>
        </w:tc>
        <w:tc>
          <w:tcPr>
            <w:tcW w:w="1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632</w:t>
            </w:r>
          </w:p>
        </w:tc>
        <w:tc>
          <w:tcPr>
            <w:tcW w:w="1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6680" w:type="dxa"/>
            <w:vAlign w:val="bottom"/>
            <w:gridSpan w:val="7"/>
            <w:vMerge w:val="restart"/>
          </w:tcPr>
          <w:p>
            <w:pPr>
              <w:jc w:val="right"/>
              <w:ind w:right="880"/>
              <w:spacing w:after="0"/>
              <w:rPr>
                <w:sz w:val="20"/>
                <w:szCs w:val="20"/>
                <w:color w:val="auto"/>
              </w:rPr>
            </w:pPr>
            <w:r>
              <w:rPr>
                <w:rFonts w:ascii="Arial" w:cs="Arial" w:eastAsia="Arial" w:hAnsi="Arial"/>
                <w:sz w:val="17"/>
                <w:szCs w:val="17"/>
                <w:color w:val="auto"/>
              </w:rPr>
              <w:t>15</w:t>
            </w:r>
          </w:p>
        </w:tc>
        <w:tc>
          <w:tcPr>
            <w:tcW w:w="5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6680" w:type="dxa"/>
            <w:vAlign w:val="bottom"/>
            <w:gridSpan w:val="7"/>
            <w:vMerge w:val="continue"/>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6680" w:type="dxa"/>
            <w:vAlign w:val="bottom"/>
            <w:gridSpan w:val="7"/>
            <w:vMerge w:val="continue"/>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238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04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960" w:type="dxa"/>
            <w:vAlign w:val="bottom"/>
            <w:tcBorders>
              <w:bottom w:val="single" w:sz="8" w:color="808080"/>
            </w:tcBorders>
          </w:tcPr>
          <w:p>
            <w:pPr>
              <w:spacing w:after="0"/>
              <w:rPr>
                <w:sz w:val="19"/>
                <w:szCs w:val="19"/>
                <w:color w:val="auto"/>
              </w:rPr>
            </w:pPr>
          </w:p>
        </w:tc>
        <w:tc>
          <w:tcPr>
            <w:tcW w:w="5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0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9" w:name="page20"/>
    <w:bookmarkEnd w:id="19"/>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Months Ended March 31, 2016</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Canadian Malartic Mine — Minesite Costs per Tonne</w:t>
      </w:r>
      <w:r>
        <w:rPr>
          <w:rFonts w:ascii="Arial" w:cs="Arial" w:eastAsia="Arial" w:hAnsi="Arial"/>
          <w:sz w:val="28"/>
          <w:szCs w:val="28"/>
          <w:b w:val="1"/>
          <w:bCs w:val="1"/>
          <w:u w:val="single" w:color="auto"/>
          <w:color w:val="auto"/>
          <w:vertAlign w:val="superscript"/>
        </w:rPr>
        <w:t>(i)(iii)</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1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1640" w:type="dxa"/>
            <w:vAlign w:val="bottom"/>
            <w:gridSpan w:val="3"/>
          </w:tcPr>
          <w:p>
            <w:pPr>
              <w:jc w:val="right"/>
              <w:ind w:right="139"/>
              <w:spacing w:after="0"/>
              <w:rPr>
                <w:sz w:val="20"/>
                <w:szCs w:val="20"/>
                <w:color w:val="auto"/>
              </w:rPr>
            </w:pPr>
            <w:r>
              <w:rPr>
                <w:rFonts w:ascii="Arial" w:cs="Arial" w:eastAsia="Arial" w:hAnsi="Arial"/>
                <w:sz w:val="13"/>
                <w:szCs w:val="13"/>
                <w:b w:val="1"/>
                <w:bCs w:val="1"/>
                <w:color w:val="auto"/>
              </w:rPr>
              <w:t>Three Months Ended</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720" w:type="dxa"/>
            <w:vAlign w:val="bottom"/>
            <w:gridSpan w:val="5"/>
          </w:tcPr>
          <w:p>
            <w:pPr>
              <w:spacing w:after="0"/>
              <w:rPr>
                <w:sz w:val="20"/>
                <w:szCs w:val="20"/>
                <w:color w:val="auto"/>
              </w:rPr>
            </w:pPr>
            <w:r>
              <w:rPr>
                <w:rFonts w:ascii="Arial" w:cs="Arial" w:eastAsia="Arial" w:hAnsi="Arial"/>
                <w:sz w:val="13"/>
                <w:szCs w:val="13"/>
                <w:b w:val="1"/>
                <w:bCs w:val="1"/>
                <w:color w:val="auto"/>
              </w:rPr>
              <w:t>Three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240" w:type="dxa"/>
            <w:vAlign w:val="bottom"/>
            <w:tcBorders>
              <w:bottom w:val="single" w:sz="8" w:color="auto"/>
            </w:tcBorders>
            <w:gridSpan w:val="3"/>
          </w:tcPr>
          <w:p>
            <w:pPr>
              <w:ind w:left="20"/>
              <w:spacing w:after="0"/>
              <w:rPr>
                <w:sz w:val="20"/>
                <w:szCs w:val="20"/>
                <w:color w:val="auto"/>
              </w:rPr>
            </w:pPr>
            <w:r>
              <w:rPr>
                <w:rFonts w:ascii="Arial" w:cs="Arial" w:eastAsia="Arial" w:hAnsi="Arial"/>
                <w:sz w:val="13"/>
                <w:szCs w:val="13"/>
                <w:b w:val="1"/>
                <w:bCs w:val="1"/>
                <w:color w:val="auto"/>
                <w:w w:val="97"/>
              </w:rPr>
              <w:t>(thousands of United States dollars, except as noted)</w:t>
            </w:r>
          </w:p>
        </w:tc>
        <w:tc>
          <w:tcPr>
            <w:tcW w:w="1100" w:type="dxa"/>
            <w:vAlign w:val="bottom"/>
            <w:gridSpan w:val="3"/>
          </w:tcPr>
          <w:p>
            <w:pPr>
              <w:spacing w:after="0"/>
              <w:rPr>
                <w:sz w:val="13"/>
                <w:szCs w:val="13"/>
                <w:color w:val="auto"/>
              </w:rPr>
            </w:pPr>
          </w:p>
        </w:tc>
        <w:tc>
          <w:tcPr>
            <w:tcW w:w="1200" w:type="dxa"/>
            <w:vAlign w:val="bottom"/>
          </w:tcPr>
          <w:p>
            <w:pPr>
              <w:spacing w:after="0"/>
              <w:rPr>
                <w:sz w:val="13"/>
                <w:szCs w:val="13"/>
                <w:color w:val="auto"/>
              </w:rPr>
            </w:pPr>
          </w:p>
        </w:tc>
        <w:tc>
          <w:tcPr>
            <w:tcW w:w="1640" w:type="dxa"/>
            <w:vAlign w:val="bottom"/>
            <w:tcBorders>
              <w:bottom w:val="single" w:sz="8" w:color="auto"/>
            </w:tcBorders>
            <w:gridSpan w:val="3"/>
          </w:tcPr>
          <w:p>
            <w:pPr>
              <w:jc w:val="right"/>
              <w:ind w:right="299"/>
              <w:spacing w:after="0"/>
              <w:rPr>
                <w:sz w:val="20"/>
                <w:szCs w:val="20"/>
                <w:color w:val="auto"/>
              </w:rPr>
            </w:pPr>
            <w:r>
              <w:rPr>
                <w:rFonts w:ascii="Arial" w:cs="Arial" w:eastAsia="Arial" w:hAnsi="Arial"/>
                <w:sz w:val="13"/>
                <w:szCs w:val="13"/>
                <w:b w:val="1"/>
                <w:bCs w:val="1"/>
                <w:color w:val="auto"/>
              </w:rPr>
              <w:t>March 31,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299"/>
              <w:spacing w:after="0"/>
              <w:rPr>
                <w:sz w:val="20"/>
                <w:szCs w:val="20"/>
                <w:color w:val="auto"/>
              </w:rPr>
            </w:pPr>
            <w:r>
              <w:rPr>
                <w:rFonts w:ascii="Arial" w:cs="Arial" w:eastAsia="Arial" w:hAnsi="Arial"/>
                <w:sz w:val="13"/>
                <w:szCs w:val="13"/>
                <w:b w:val="1"/>
                <w:bCs w:val="1"/>
                <w:color w:val="auto"/>
                <w:w w:val="95"/>
              </w:rPr>
              <w:t>March 31, 2015</w:t>
            </w:r>
          </w:p>
        </w:tc>
        <w:tc>
          <w:tcPr>
            <w:tcW w:w="130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Production costs</w:t>
            </w:r>
          </w:p>
        </w:tc>
        <w:tc>
          <w:tcPr>
            <w:tcW w:w="1720" w:type="dxa"/>
            <w:vAlign w:val="bottom"/>
            <w:gridSpan w:val="2"/>
            <w:shd w:val="clear" w:color="auto" w:fill="CCEEFF"/>
          </w:tcPr>
          <w:p>
            <w:pPr>
              <w:jc w:val="right"/>
              <w:ind w:right="85"/>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40,814</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41,186</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4340" w:type="dxa"/>
            <w:vAlign w:val="bottom"/>
            <w:gridSpan w:val="6"/>
          </w:tcPr>
          <w:p>
            <w:pPr>
              <w:ind w:left="20"/>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w:t>
            </w:r>
          </w:p>
        </w:tc>
        <w:tc>
          <w:tcPr>
            <w:tcW w:w="1200" w:type="dxa"/>
            <w:vAlign w:val="bottom"/>
          </w:tcPr>
          <w:p>
            <w:pPr>
              <w:spacing w:after="0"/>
              <w:rPr>
                <w:sz w:val="23"/>
                <w:szCs w:val="23"/>
                <w:color w:val="auto"/>
              </w:rPr>
            </w:pPr>
          </w:p>
        </w:tc>
        <w:tc>
          <w:tcPr>
            <w:tcW w:w="52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1,076</w:t>
            </w:r>
          </w:p>
        </w:tc>
        <w:tc>
          <w:tcPr>
            <w:tcW w:w="160" w:type="dxa"/>
            <w:vAlign w:val="bottom"/>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2,605</w:t>
            </w:r>
          </w:p>
        </w:tc>
        <w:tc>
          <w:tcPr>
            <w:tcW w:w="14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Minesite operating costs</w:t>
            </w:r>
          </w:p>
        </w:tc>
        <w:tc>
          <w:tcPr>
            <w:tcW w:w="1720" w:type="dxa"/>
            <w:vAlign w:val="bottom"/>
            <w:gridSpan w:val="2"/>
            <w:shd w:val="clear" w:color="auto" w:fill="CCEEFF"/>
          </w:tcPr>
          <w:p>
            <w:pPr>
              <w:jc w:val="right"/>
              <w:ind w:right="85"/>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41,890</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43,791</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340" w:type="dxa"/>
            <w:vAlign w:val="bottom"/>
            <w:gridSpan w:val="6"/>
          </w:tcPr>
          <w:p>
            <w:pPr>
              <w:ind w:left="20"/>
              <w:spacing w:after="0"/>
              <w:rPr>
                <w:sz w:val="20"/>
                <w:szCs w:val="20"/>
                <w:color w:val="auto"/>
              </w:rPr>
            </w:pPr>
            <w:r>
              <w:rPr>
                <w:rFonts w:ascii="Arial" w:cs="Arial" w:eastAsia="Arial" w:hAnsi="Arial"/>
                <w:sz w:val="17"/>
                <w:szCs w:val="17"/>
                <w:color w:val="auto"/>
              </w:rPr>
              <w:t>Minesite operating costs (thousands of C$)</w:t>
            </w:r>
          </w:p>
        </w:tc>
        <w:tc>
          <w:tcPr>
            <w:tcW w:w="1200" w:type="dxa"/>
            <w:vAlign w:val="bottom"/>
          </w:tcPr>
          <w:p>
            <w:pPr>
              <w:spacing w:after="0"/>
              <w:rPr>
                <w:sz w:val="18"/>
                <w:szCs w:val="18"/>
                <w:color w:val="auto"/>
              </w:rPr>
            </w:pPr>
          </w:p>
        </w:tc>
        <w:tc>
          <w:tcPr>
            <w:tcW w:w="620" w:type="dxa"/>
            <w:vAlign w:val="bottom"/>
            <w:gridSpan w:val="2"/>
          </w:tcPr>
          <w:p>
            <w:pPr>
              <w:jc w:val="right"/>
              <w:ind w:right="335"/>
              <w:spacing w:after="0"/>
              <w:rPr>
                <w:sz w:val="20"/>
                <w:szCs w:val="20"/>
                <w:color w:val="auto"/>
              </w:rPr>
            </w:pPr>
            <w:r>
              <w:rPr>
                <w:rFonts w:ascii="Arial" w:cs="Arial" w:eastAsia="Arial" w:hAnsi="Arial"/>
                <w:sz w:val="17"/>
                <w:szCs w:val="17"/>
                <w:color w:val="auto"/>
                <w:w w:val="82"/>
              </w:rPr>
              <w:t>C$</w:t>
            </w:r>
          </w:p>
        </w:tc>
        <w:tc>
          <w:tcPr>
            <w:tcW w:w="1020" w:type="dxa"/>
            <w:vAlign w:val="bottom"/>
          </w:tcPr>
          <w:p>
            <w:pPr>
              <w:jc w:val="right"/>
              <w:spacing w:after="0"/>
              <w:rPr>
                <w:sz w:val="20"/>
                <w:szCs w:val="20"/>
                <w:color w:val="auto"/>
              </w:rPr>
            </w:pPr>
            <w:r>
              <w:rPr>
                <w:rFonts w:ascii="Arial" w:cs="Arial" w:eastAsia="Arial" w:hAnsi="Arial"/>
                <w:sz w:val="17"/>
                <w:szCs w:val="17"/>
                <w:color w:val="auto"/>
              </w:rPr>
              <w:t>57,545</w:t>
            </w:r>
          </w:p>
        </w:tc>
        <w:tc>
          <w:tcPr>
            <w:tcW w:w="160" w:type="dxa"/>
            <w:vAlign w:val="bottom"/>
          </w:tcPr>
          <w:p>
            <w:pPr>
              <w:spacing w:after="0"/>
              <w:rPr>
                <w:sz w:val="18"/>
                <w:szCs w:val="18"/>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7"/>
                <w:szCs w:val="17"/>
                <w:color w:val="auto"/>
                <w:w w:val="82"/>
              </w:rPr>
              <w:t>C$</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54,320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3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Tonnes of ore milled (thousands of tonnes)</w:t>
            </w:r>
          </w:p>
        </w:tc>
        <w:tc>
          <w:tcPr>
            <w:tcW w:w="12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2,380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2,339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340" w:type="dxa"/>
            <w:vAlign w:val="bottom"/>
            <w:gridSpan w:val="6"/>
            <w:vMerge w:val="restart"/>
          </w:tcPr>
          <w:p>
            <w:pPr>
              <w:ind w:left="20"/>
              <w:spacing w:after="0" w:line="314" w:lineRule="exact"/>
              <w:rPr>
                <w:sz w:val="20"/>
                <w:szCs w:val="20"/>
                <w:color w:val="auto"/>
              </w:rPr>
            </w:pPr>
            <w:r>
              <w:rPr>
                <w:rFonts w:ascii="Arial" w:cs="Arial" w:eastAsia="Arial" w:hAnsi="Arial"/>
                <w:sz w:val="17"/>
                <w:szCs w:val="17"/>
                <w:color w:val="auto"/>
              </w:rPr>
              <w:t>Minesite costs per tonne (C$)</w:t>
            </w:r>
            <w:r>
              <w:rPr>
                <w:rFonts w:ascii="Arial" w:cs="Arial" w:eastAsia="Arial" w:hAnsi="Arial"/>
                <w:sz w:val="28"/>
                <w:szCs w:val="28"/>
                <w:color w:val="auto"/>
                <w:vertAlign w:val="superscript"/>
              </w:rPr>
              <w:t>(iii)</w:t>
            </w:r>
          </w:p>
        </w:tc>
        <w:tc>
          <w:tcPr>
            <w:tcW w:w="120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1140" w:type="dxa"/>
            <w:vAlign w:val="bottom"/>
          </w:tcPr>
          <w:p>
            <w:pPr>
              <w:spacing w:after="0"/>
              <w:rPr>
                <w:sz w:val="23"/>
                <w:szCs w:val="23"/>
                <w:color w:val="auto"/>
              </w:rPr>
            </w:pPr>
          </w:p>
        </w:tc>
        <w:tc>
          <w:tcPr>
            <w:tcW w:w="4340" w:type="dxa"/>
            <w:vAlign w:val="bottom"/>
            <w:gridSpan w:val="6"/>
            <w:vMerge w:val="continue"/>
          </w:tcPr>
          <w:p>
            <w:pPr>
              <w:spacing w:after="0"/>
              <w:rPr>
                <w:sz w:val="23"/>
                <w:szCs w:val="23"/>
                <w:color w:val="auto"/>
              </w:rPr>
            </w:pPr>
          </w:p>
        </w:tc>
        <w:tc>
          <w:tcPr>
            <w:tcW w:w="1200" w:type="dxa"/>
            <w:vAlign w:val="bottom"/>
          </w:tcPr>
          <w:p>
            <w:pPr>
              <w:spacing w:after="0"/>
              <w:rPr>
                <w:sz w:val="23"/>
                <w:szCs w:val="23"/>
                <w:color w:val="auto"/>
              </w:rPr>
            </w:pPr>
          </w:p>
        </w:tc>
        <w:tc>
          <w:tcPr>
            <w:tcW w:w="620" w:type="dxa"/>
            <w:vAlign w:val="bottom"/>
            <w:gridSpan w:val="2"/>
          </w:tcPr>
          <w:p>
            <w:pPr>
              <w:jc w:val="right"/>
              <w:ind w:right="335"/>
              <w:spacing w:after="0"/>
              <w:rPr>
                <w:sz w:val="20"/>
                <w:szCs w:val="20"/>
                <w:color w:val="auto"/>
              </w:rPr>
            </w:pPr>
            <w:r>
              <w:rPr>
                <w:rFonts w:ascii="Arial" w:cs="Arial" w:eastAsia="Arial" w:hAnsi="Arial"/>
                <w:sz w:val="17"/>
                <w:szCs w:val="17"/>
                <w:color w:val="auto"/>
                <w:w w:val="82"/>
              </w:rPr>
              <w:t>C$</w:t>
            </w:r>
          </w:p>
        </w:tc>
        <w:tc>
          <w:tcPr>
            <w:tcW w:w="1020" w:type="dxa"/>
            <w:vAlign w:val="bottom"/>
          </w:tcPr>
          <w:p>
            <w:pPr>
              <w:jc w:val="right"/>
              <w:spacing w:after="0"/>
              <w:rPr>
                <w:sz w:val="20"/>
                <w:szCs w:val="20"/>
                <w:color w:val="auto"/>
              </w:rPr>
            </w:pPr>
            <w:r>
              <w:rPr>
                <w:rFonts w:ascii="Arial" w:cs="Arial" w:eastAsia="Arial" w:hAnsi="Arial"/>
                <w:sz w:val="17"/>
                <w:szCs w:val="17"/>
                <w:color w:val="auto"/>
              </w:rPr>
              <w:t>24</w:t>
            </w:r>
          </w:p>
        </w:tc>
        <w:tc>
          <w:tcPr>
            <w:tcW w:w="160" w:type="dxa"/>
            <w:vAlign w:val="bottom"/>
          </w:tcPr>
          <w:p>
            <w:pPr>
              <w:spacing w:after="0"/>
              <w:rPr>
                <w:sz w:val="23"/>
                <w:szCs w:val="23"/>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7"/>
                <w:szCs w:val="17"/>
                <w:color w:val="auto"/>
                <w:w w:val="82"/>
              </w:rPr>
              <w:t>C$</w:t>
            </w:r>
          </w:p>
        </w:tc>
        <w:tc>
          <w:tcPr>
            <w:tcW w:w="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23</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4500" w:type="dxa"/>
            <w:vAlign w:val="bottom"/>
            <w:gridSpan w:val="5"/>
            <w:vMerge w:val="restart"/>
          </w:tcPr>
          <w:p>
            <w:pPr>
              <w:spacing w:after="0"/>
              <w:rPr>
                <w:sz w:val="20"/>
                <w:szCs w:val="20"/>
                <w:color w:val="auto"/>
              </w:rPr>
            </w:pPr>
            <w:r>
              <w:rPr>
                <w:rFonts w:ascii="Arial" w:cs="Arial" w:eastAsia="Arial" w:hAnsi="Arial"/>
                <w:sz w:val="17"/>
                <w:szCs w:val="17"/>
                <w:b w:val="1"/>
                <w:bCs w:val="1"/>
                <w:color w:val="auto"/>
                <w:w w:val="91"/>
              </w:rPr>
              <w:t>Kittila Mine — Total Cash Costs per Ounce of Gold Produced</w:t>
            </w:r>
          </w:p>
        </w:tc>
        <w:tc>
          <w:tcPr>
            <w:tcW w:w="180" w:type="dxa"/>
            <w:vAlign w:val="bottom"/>
            <w:vMerge w:val="restart"/>
          </w:tcPr>
          <w:p>
            <w:pPr>
              <w:spacing w:after="0"/>
              <w:rPr>
                <w:sz w:val="20"/>
                <w:szCs w:val="20"/>
                <w:color w:val="auto"/>
              </w:rPr>
            </w:pPr>
            <w:r>
              <w:rPr>
                <w:rFonts w:ascii="Arial" w:cs="Arial" w:eastAsia="Arial" w:hAnsi="Arial"/>
                <w:sz w:val="14"/>
                <w:szCs w:val="14"/>
                <w:b w:val="1"/>
                <w:bCs w:val="1"/>
                <w:color w:val="auto"/>
                <w:w w:val="93"/>
              </w:rPr>
              <w:t>(ii)</w:t>
            </w:r>
          </w:p>
        </w:tc>
        <w:tc>
          <w:tcPr>
            <w:tcW w:w="80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4500" w:type="dxa"/>
            <w:vAlign w:val="bottom"/>
            <w:gridSpan w:val="5"/>
            <w:vMerge w:val="continue"/>
          </w:tcPr>
          <w:p>
            <w:pPr>
              <w:spacing w:after="0"/>
              <w:rPr>
                <w:sz w:val="24"/>
                <w:szCs w:val="24"/>
                <w:color w:val="auto"/>
              </w:rPr>
            </w:pPr>
          </w:p>
        </w:tc>
        <w:tc>
          <w:tcPr>
            <w:tcW w:w="180" w:type="dxa"/>
            <w:vAlign w:val="bottom"/>
            <w:tcBorders>
              <w:bottom w:val="single" w:sz="8" w:color="auto"/>
            </w:tcBorders>
            <w:vMerge w:val="continue"/>
          </w:tcPr>
          <w:p>
            <w:pPr>
              <w:spacing w:after="0"/>
              <w:rPr>
                <w:sz w:val="24"/>
                <w:szCs w:val="24"/>
                <w:color w:val="auto"/>
              </w:rPr>
            </w:pPr>
          </w:p>
        </w:tc>
        <w:tc>
          <w:tcPr>
            <w:tcW w:w="800" w:type="dxa"/>
            <w:vAlign w:val="bottom"/>
            <w:vMerge w:val="restart"/>
          </w:tcPr>
          <w:p>
            <w:pPr>
              <w:spacing w:after="0"/>
              <w:rPr>
                <w:sz w:val="24"/>
                <w:szCs w:val="24"/>
                <w:color w:val="auto"/>
              </w:rPr>
            </w:pPr>
          </w:p>
        </w:tc>
        <w:tc>
          <w:tcPr>
            <w:tcW w:w="1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4500" w:type="dxa"/>
            <w:vAlign w:val="bottom"/>
            <w:tcBorders>
              <w:bottom w:val="single" w:sz="8" w:color="auto"/>
            </w:tcBorders>
            <w:gridSpan w:val="5"/>
            <w:vMerge w:val="continue"/>
          </w:tcPr>
          <w:p>
            <w:pPr>
              <w:spacing w:after="0"/>
              <w:rPr>
                <w:sz w:val="3"/>
                <w:szCs w:val="3"/>
                <w:color w:val="auto"/>
              </w:rPr>
            </w:pPr>
          </w:p>
        </w:tc>
        <w:tc>
          <w:tcPr>
            <w:tcW w:w="18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1200" w:type="dxa"/>
            <w:vAlign w:val="bottom"/>
          </w:tcPr>
          <w:p>
            <w:pPr>
              <w:spacing w:after="0"/>
              <w:rPr>
                <w:sz w:val="3"/>
                <w:szCs w:val="3"/>
                <w:color w:val="auto"/>
              </w:rPr>
            </w:pPr>
          </w:p>
        </w:tc>
        <w:tc>
          <w:tcPr>
            <w:tcW w:w="5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400" w:type="dxa"/>
            <w:vAlign w:val="bottom"/>
            <w:gridSpan w:val="4"/>
            <w:vMerge w:val="restart"/>
          </w:tcPr>
          <w:p>
            <w:pPr>
              <w:jc w:val="center"/>
              <w:ind w:right="200"/>
              <w:spacing w:after="0"/>
              <w:rPr>
                <w:sz w:val="20"/>
                <w:szCs w:val="20"/>
                <w:color w:val="auto"/>
              </w:rPr>
            </w:pPr>
            <w:r>
              <w:rPr>
                <w:rFonts w:ascii="Arial" w:cs="Arial" w:eastAsia="Arial" w:hAnsi="Arial"/>
                <w:sz w:val="13"/>
                <w:szCs w:val="13"/>
                <w:b w:val="1"/>
                <w:bCs w:val="1"/>
                <w:color w:val="auto"/>
                <w:w w:val="93"/>
              </w:rPr>
              <w:t>Three Months Ended</w:t>
            </w: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580" w:type="dxa"/>
            <w:vAlign w:val="bottom"/>
            <w:gridSpan w:val="3"/>
            <w:vMerge w:val="restart"/>
          </w:tcPr>
          <w:p>
            <w:pPr>
              <w:jc w:val="center"/>
              <w:ind w:right="1400"/>
              <w:spacing w:after="0"/>
              <w:rPr>
                <w:sz w:val="20"/>
                <w:szCs w:val="20"/>
                <w:color w:val="auto"/>
              </w:rPr>
            </w:pPr>
            <w:r>
              <w:rPr>
                <w:rFonts w:ascii="Arial" w:cs="Arial" w:eastAsia="Arial" w:hAnsi="Arial"/>
                <w:sz w:val="13"/>
                <w:szCs w:val="13"/>
                <w:b w:val="1"/>
                <w:bCs w:val="1"/>
                <w:color w:val="auto"/>
                <w:w w:val="91"/>
              </w:rPr>
              <w:t>Three Months Ended</w:t>
            </w:r>
          </w:p>
        </w:tc>
        <w:tc>
          <w:tcPr>
            <w:tcW w:w="0" w:type="dxa"/>
            <w:vAlign w:val="bottom"/>
          </w:tcPr>
          <w:p>
            <w:pPr>
              <w:spacing w:after="0"/>
              <w:rPr>
                <w:sz w:val="1"/>
                <w:szCs w:val="1"/>
                <w:color w:val="auto"/>
              </w:rPr>
            </w:pPr>
          </w:p>
        </w:tc>
      </w:tr>
      <w:tr>
        <w:trPr>
          <w:trHeight w:val="360"/>
        </w:trPr>
        <w:tc>
          <w:tcPr>
            <w:tcW w:w="114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0" w:type="dxa"/>
            <w:vAlign w:val="bottom"/>
            <w:gridSpan w:val="4"/>
            <w:vMerge w:val="continue"/>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580" w:type="dxa"/>
            <w:vAlign w:val="bottom"/>
            <w:gridSpan w:val="3"/>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240" w:type="dxa"/>
            <w:vAlign w:val="bottom"/>
            <w:tcBorders>
              <w:bottom w:val="single" w:sz="8" w:color="auto"/>
            </w:tcBorders>
            <w:gridSpan w:val="3"/>
          </w:tcPr>
          <w:p>
            <w:pPr>
              <w:ind w:left="20"/>
              <w:spacing w:after="0"/>
              <w:rPr>
                <w:sz w:val="20"/>
                <w:szCs w:val="20"/>
                <w:color w:val="auto"/>
              </w:rPr>
            </w:pPr>
            <w:r>
              <w:rPr>
                <w:rFonts w:ascii="Arial" w:cs="Arial" w:eastAsia="Arial" w:hAnsi="Arial"/>
                <w:sz w:val="13"/>
                <w:szCs w:val="13"/>
                <w:b w:val="1"/>
                <w:bCs w:val="1"/>
                <w:color w:val="auto"/>
                <w:w w:val="97"/>
              </w:rPr>
              <w:t>(thousands of United States dollars, except as noted)</w:t>
            </w:r>
          </w:p>
        </w:tc>
        <w:tc>
          <w:tcPr>
            <w:tcW w:w="1100" w:type="dxa"/>
            <w:vAlign w:val="bottom"/>
            <w:gridSpan w:val="3"/>
          </w:tcPr>
          <w:p>
            <w:pPr>
              <w:spacing w:after="0"/>
              <w:rPr>
                <w:sz w:val="13"/>
                <w:szCs w:val="13"/>
                <w:color w:val="auto"/>
              </w:rPr>
            </w:pPr>
          </w:p>
        </w:tc>
        <w:tc>
          <w:tcPr>
            <w:tcW w:w="12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center"/>
              <w:ind w:left="79"/>
              <w:spacing w:after="0"/>
              <w:rPr>
                <w:sz w:val="20"/>
                <w:szCs w:val="20"/>
                <w:color w:val="auto"/>
              </w:rPr>
            </w:pPr>
            <w:r>
              <w:rPr>
                <w:rFonts w:ascii="Arial" w:cs="Arial" w:eastAsia="Arial" w:hAnsi="Arial"/>
                <w:sz w:val="13"/>
                <w:szCs w:val="13"/>
                <w:b w:val="1"/>
                <w:bCs w:val="1"/>
                <w:color w:val="auto"/>
                <w:w w:val="92"/>
              </w:rPr>
              <w:t>March 31, 2016</w:t>
            </w:r>
          </w:p>
        </w:tc>
        <w:tc>
          <w:tcPr>
            <w:tcW w:w="16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ind w:right="19"/>
              <w:spacing w:after="0"/>
              <w:rPr>
                <w:sz w:val="20"/>
                <w:szCs w:val="20"/>
                <w:color w:val="auto"/>
              </w:rPr>
            </w:pPr>
            <w:r>
              <w:rPr>
                <w:rFonts w:ascii="Arial" w:cs="Arial" w:eastAsia="Arial" w:hAnsi="Arial"/>
                <w:sz w:val="13"/>
                <w:szCs w:val="13"/>
                <w:b w:val="1"/>
                <w:bCs w:val="1"/>
                <w:color w:val="auto"/>
                <w:w w:val="92"/>
              </w:rPr>
              <w:t>March 31, 2015</w:t>
            </w:r>
          </w:p>
        </w:tc>
        <w:tc>
          <w:tcPr>
            <w:tcW w:w="130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Production costs</w:t>
            </w:r>
          </w:p>
        </w:tc>
        <w:tc>
          <w:tcPr>
            <w:tcW w:w="182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0" w:type="dxa"/>
            <w:vAlign w:val="bottom"/>
            <w:gridSpan w:val="4"/>
            <w:shd w:val="clear" w:color="auto" w:fill="CCEEFF"/>
          </w:tcPr>
          <w:p>
            <w:pPr>
              <w:jc w:val="right"/>
              <w:ind w:right="120"/>
              <w:spacing w:after="0"/>
              <w:rPr>
                <w:sz w:val="20"/>
                <w:szCs w:val="20"/>
                <w:color w:val="auto"/>
              </w:rPr>
            </w:pPr>
            <w:r>
              <w:rPr>
                <w:rFonts w:ascii="Arial" w:cs="Arial" w:eastAsia="Arial" w:hAnsi="Arial"/>
                <w:sz w:val="17"/>
                <w:szCs w:val="17"/>
                <w:color w:val="auto"/>
              </w:rPr>
              <w:t>36,027</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31,999</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340" w:type="dxa"/>
            <w:vAlign w:val="bottom"/>
            <w:gridSpan w:val="6"/>
          </w:tcPr>
          <w:p>
            <w:pPr>
              <w:ind w:left="20"/>
              <w:spacing w:after="0"/>
              <w:rPr>
                <w:sz w:val="20"/>
                <w:szCs w:val="20"/>
                <w:color w:val="auto"/>
              </w:rPr>
            </w:pPr>
            <w:r>
              <w:rPr>
                <w:rFonts w:ascii="Arial" w:cs="Arial" w:eastAsia="Arial" w:hAnsi="Arial"/>
                <w:sz w:val="17"/>
                <w:szCs w:val="17"/>
                <w:color w:val="auto"/>
              </w:rPr>
              <w:t>Adjustments:</w:t>
            </w:r>
          </w:p>
        </w:tc>
        <w:tc>
          <w:tcPr>
            <w:tcW w:w="1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4340" w:type="dxa"/>
            <w:vAlign w:val="bottom"/>
            <w:gridSpan w:val="6"/>
            <w:shd w:val="clear" w:color="auto" w:fill="CCEEFF"/>
          </w:tcPr>
          <w:p>
            <w:pPr>
              <w:ind w:left="360"/>
              <w:spacing w:after="0" w:line="249"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(iv)</w:t>
            </w:r>
          </w:p>
        </w:tc>
        <w:tc>
          <w:tcPr>
            <w:tcW w:w="1200" w:type="dxa"/>
            <w:vAlign w:val="bottom"/>
            <w:shd w:val="clear" w:color="auto" w:fill="CCEEFF"/>
          </w:tcPr>
          <w:p>
            <w:pPr>
              <w:spacing w:after="0"/>
              <w:rPr>
                <w:sz w:val="21"/>
                <w:szCs w:val="21"/>
                <w:color w:val="auto"/>
              </w:rPr>
            </w:pPr>
          </w:p>
        </w:tc>
        <w:tc>
          <w:tcPr>
            <w:tcW w:w="5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00" w:type="dxa"/>
            <w:vAlign w:val="bottom"/>
            <w:gridSpan w:val="4"/>
            <w:shd w:val="clear" w:color="auto" w:fill="CCEEFF"/>
          </w:tcPr>
          <w:p>
            <w:pPr>
              <w:jc w:val="right"/>
              <w:ind w:right="60"/>
              <w:spacing w:after="0"/>
              <w:rPr>
                <w:sz w:val="20"/>
                <w:szCs w:val="20"/>
                <w:color w:val="auto"/>
              </w:rPr>
            </w:pPr>
            <w:r>
              <w:rPr>
                <w:rFonts w:ascii="Arial" w:cs="Arial" w:eastAsia="Arial" w:hAnsi="Arial"/>
                <w:sz w:val="17"/>
                <w:szCs w:val="17"/>
                <w:color w:val="auto"/>
              </w:rPr>
              <w:t>(1,024)</w:t>
            </w:r>
          </w:p>
        </w:tc>
        <w:tc>
          <w:tcPr>
            <w:tcW w:w="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(1,543)</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340" w:type="dxa"/>
            <w:vAlign w:val="bottom"/>
            <w:gridSpan w:val="6"/>
            <w:vMerge w:val="restart"/>
          </w:tcPr>
          <w:p>
            <w:pPr>
              <w:ind w:left="20"/>
              <w:spacing w:after="0"/>
              <w:rPr>
                <w:sz w:val="20"/>
                <w:szCs w:val="20"/>
                <w:color w:val="auto"/>
              </w:rPr>
            </w:pPr>
            <w:r>
              <w:rPr>
                <w:rFonts w:ascii="Arial" w:cs="Arial" w:eastAsia="Arial" w:hAnsi="Arial"/>
                <w:sz w:val="17"/>
                <w:szCs w:val="17"/>
                <w:color w:val="auto"/>
              </w:rPr>
              <w:t>Cash operating costs (co-product basis)</w:t>
            </w:r>
          </w:p>
        </w:tc>
        <w:tc>
          <w:tcPr>
            <w:tcW w:w="1820" w:type="dxa"/>
            <w:vAlign w:val="bottom"/>
            <w:gridSpan w:val="3"/>
          </w:tcPr>
          <w:p>
            <w:pPr>
              <w:spacing w:after="0"/>
              <w:rPr>
                <w:sz w:val="2"/>
                <w:szCs w:val="2"/>
                <w:color w:val="auto"/>
              </w:rPr>
            </w:pPr>
          </w:p>
        </w:tc>
        <w:tc>
          <w:tcPr>
            <w:tcW w:w="1400" w:type="dxa"/>
            <w:vAlign w:val="bottom"/>
            <w:gridSpan w:val="4"/>
          </w:tcPr>
          <w:p>
            <w:pPr>
              <w:spacing w:after="0"/>
              <w:rPr>
                <w:sz w:val="2"/>
                <w:szCs w:val="2"/>
                <w:color w:val="auto"/>
              </w:rPr>
            </w:pPr>
          </w:p>
        </w:tc>
        <w:tc>
          <w:tcPr>
            <w:tcW w:w="140" w:type="dxa"/>
            <w:vAlign w:val="bottom"/>
            <w:gridSpan w:val="2"/>
          </w:tcPr>
          <w:p>
            <w:pPr>
              <w:spacing w:after="0"/>
              <w:rPr>
                <w:sz w:val="2"/>
                <w:szCs w:val="2"/>
                <w:color w:val="auto"/>
              </w:rPr>
            </w:pPr>
          </w:p>
        </w:tc>
        <w:tc>
          <w:tcPr>
            <w:tcW w:w="142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vMerge w:val="continue"/>
          </w:tcPr>
          <w:p>
            <w:pPr>
              <w:spacing w:after="0"/>
              <w:rPr>
                <w:sz w:val="17"/>
                <w:szCs w:val="17"/>
                <w:color w:val="auto"/>
              </w:rPr>
            </w:pPr>
          </w:p>
        </w:tc>
        <w:tc>
          <w:tcPr>
            <w:tcW w:w="1720" w:type="dxa"/>
            <w:vAlign w:val="bottom"/>
            <w:gridSpan w:val="2"/>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3"/>
          </w:tcPr>
          <w:p>
            <w:pPr>
              <w:jc w:val="right"/>
              <w:spacing w:after="0"/>
              <w:rPr>
                <w:sz w:val="20"/>
                <w:szCs w:val="20"/>
                <w:color w:val="auto"/>
              </w:rPr>
            </w:pPr>
            <w:r>
              <w:rPr>
                <w:rFonts w:ascii="Arial" w:cs="Arial" w:eastAsia="Arial" w:hAnsi="Arial"/>
                <w:sz w:val="17"/>
                <w:szCs w:val="17"/>
                <w:color w:val="auto"/>
              </w:rPr>
              <w:t>35,003</w:t>
            </w: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30,456</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340" w:type="dxa"/>
            <w:vAlign w:val="bottom"/>
            <w:gridSpan w:val="6"/>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12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380" w:type="dxa"/>
            <w:vAlign w:val="bottom"/>
            <w:gridSpan w:val="3"/>
            <w:shd w:val="clear" w:color="auto" w:fill="CCEEFF"/>
          </w:tcPr>
          <w:p>
            <w:pPr>
              <w:jc w:val="right"/>
              <w:ind w:right="60"/>
              <w:spacing w:after="0"/>
              <w:rPr>
                <w:sz w:val="20"/>
                <w:szCs w:val="20"/>
                <w:color w:val="auto"/>
              </w:rPr>
            </w:pPr>
            <w:r>
              <w:rPr>
                <w:rFonts w:ascii="Arial" w:cs="Arial" w:eastAsia="Arial" w:hAnsi="Arial"/>
                <w:sz w:val="17"/>
                <w:szCs w:val="17"/>
                <w:color w:val="auto"/>
                <w:w w:val="99"/>
              </w:rPr>
              <w:t>(47)</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(35)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340" w:type="dxa"/>
            <w:vAlign w:val="bottom"/>
            <w:gridSpan w:val="6"/>
            <w:vMerge w:val="restart"/>
          </w:tcPr>
          <w:p>
            <w:pPr>
              <w:ind w:left="20"/>
              <w:spacing w:after="0"/>
              <w:rPr>
                <w:sz w:val="20"/>
                <w:szCs w:val="20"/>
                <w:color w:val="auto"/>
              </w:rPr>
            </w:pPr>
            <w:r>
              <w:rPr>
                <w:rFonts w:ascii="Arial" w:cs="Arial" w:eastAsia="Arial" w:hAnsi="Arial"/>
                <w:sz w:val="17"/>
                <w:szCs w:val="17"/>
                <w:color w:val="auto"/>
              </w:rPr>
              <w:t>Cash operating costs (by-product basis)</w:t>
            </w:r>
          </w:p>
        </w:tc>
        <w:tc>
          <w:tcPr>
            <w:tcW w:w="1820" w:type="dxa"/>
            <w:vAlign w:val="bottom"/>
            <w:gridSpan w:val="3"/>
          </w:tcPr>
          <w:p>
            <w:pPr>
              <w:spacing w:after="0"/>
              <w:rPr>
                <w:sz w:val="2"/>
                <w:szCs w:val="2"/>
                <w:color w:val="auto"/>
              </w:rPr>
            </w:pPr>
          </w:p>
        </w:tc>
        <w:tc>
          <w:tcPr>
            <w:tcW w:w="1400" w:type="dxa"/>
            <w:vAlign w:val="bottom"/>
            <w:gridSpan w:val="4"/>
          </w:tcPr>
          <w:p>
            <w:pPr>
              <w:spacing w:after="0"/>
              <w:rPr>
                <w:sz w:val="2"/>
                <w:szCs w:val="2"/>
                <w:color w:val="auto"/>
              </w:rPr>
            </w:pPr>
          </w:p>
        </w:tc>
        <w:tc>
          <w:tcPr>
            <w:tcW w:w="140" w:type="dxa"/>
            <w:vAlign w:val="bottom"/>
            <w:gridSpan w:val="2"/>
          </w:tcPr>
          <w:p>
            <w:pPr>
              <w:spacing w:after="0"/>
              <w:rPr>
                <w:sz w:val="2"/>
                <w:szCs w:val="2"/>
                <w:color w:val="auto"/>
              </w:rPr>
            </w:pPr>
          </w:p>
        </w:tc>
        <w:tc>
          <w:tcPr>
            <w:tcW w:w="142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vMerge w:val="continue"/>
          </w:tcPr>
          <w:p>
            <w:pPr>
              <w:spacing w:after="0"/>
              <w:rPr>
                <w:sz w:val="17"/>
                <w:szCs w:val="17"/>
                <w:color w:val="auto"/>
              </w:rPr>
            </w:pPr>
          </w:p>
        </w:tc>
        <w:tc>
          <w:tcPr>
            <w:tcW w:w="1720" w:type="dxa"/>
            <w:vAlign w:val="bottom"/>
            <w:gridSpan w:val="2"/>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gridSpan w:val="3"/>
          </w:tcPr>
          <w:p>
            <w:pPr>
              <w:jc w:val="right"/>
              <w:spacing w:after="0"/>
              <w:rPr>
                <w:sz w:val="20"/>
                <w:szCs w:val="20"/>
                <w:color w:val="auto"/>
              </w:rPr>
            </w:pPr>
            <w:r>
              <w:rPr>
                <w:rFonts w:ascii="Arial" w:cs="Arial" w:eastAsia="Arial" w:hAnsi="Arial"/>
                <w:sz w:val="17"/>
                <w:szCs w:val="17"/>
                <w:color w:val="auto"/>
              </w:rPr>
              <w:t>34,956</w:t>
            </w: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30,421</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3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Gold production (ounces)</w:t>
            </w:r>
          </w:p>
        </w:tc>
        <w:tc>
          <w:tcPr>
            <w:tcW w:w="12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0" w:type="dxa"/>
            <w:vAlign w:val="bottom"/>
            <w:gridSpan w:val="4"/>
            <w:shd w:val="clear" w:color="auto" w:fill="CCEEFF"/>
          </w:tcPr>
          <w:p>
            <w:pPr>
              <w:jc w:val="right"/>
              <w:ind w:right="120"/>
              <w:spacing w:after="0"/>
              <w:rPr>
                <w:sz w:val="20"/>
                <w:szCs w:val="20"/>
                <w:color w:val="auto"/>
              </w:rPr>
            </w:pPr>
            <w:r>
              <w:rPr>
                <w:rFonts w:ascii="Arial" w:cs="Arial" w:eastAsia="Arial" w:hAnsi="Arial"/>
                <w:sz w:val="17"/>
                <w:szCs w:val="17"/>
                <w:color w:val="auto"/>
              </w:rPr>
              <w:t>48,127</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44,654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4340" w:type="dxa"/>
            <w:vAlign w:val="bottom"/>
            <w:gridSpan w:val="6"/>
          </w:tcPr>
          <w:p>
            <w:pPr>
              <w:ind w:left="20"/>
              <w:spacing w:after="0" w:line="276" w:lineRule="exact"/>
              <w:rPr>
                <w:sz w:val="20"/>
                <w:szCs w:val="20"/>
                <w:color w:val="auto"/>
              </w:rPr>
            </w:pPr>
            <w:r>
              <w:rPr>
                <w:rFonts w:ascii="Arial" w:cs="Arial" w:eastAsia="Arial" w:hAnsi="Arial"/>
                <w:sz w:val="17"/>
                <w:szCs w:val="17"/>
                <w:color w:val="auto"/>
                <w:w w:val="92"/>
              </w:rPr>
              <w:t>Total cash costs per ounce of gold produced ($ per ounce)</w:t>
            </w:r>
            <w:r>
              <w:rPr>
                <w:rFonts w:ascii="Arial" w:cs="Arial" w:eastAsia="Arial" w:hAnsi="Arial"/>
                <w:sz w:val="28"/>
                <w:szCs w:val="28"/>
                <w:color w:val="auto"/>
                <w:w w:val="92"/>
                <w:vertAlign w:val="superscript"/>
              </w:rPr>
              <w:t>(ii)</w:t>
            </w:r>
            <w:r>
              <w:rPr>
                <w:rFonts w:ascii="Arial" w:cs="Arial" w:eastAsia="Arial" w:hAnsi="Arial"/>
                <w:sz w:val="17"/>
                <w:szCs w:val="17"/>
                <w:color w:val="auto"/>
                <w:w w:val="92"/>
              </w:rPr>
              <w:t>:</w:t>
            </w:r>
          </w:p>
        </w:tc>
        <w:tc>
          <w:tcPr>
            <w:tcW w:w="12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280" w:type="dxa"/>
            <w:vAlign w:val="bottom"/>
            <w:tcBorders>
              <w:bottom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182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20" w:type="dxa"/>
            <w:vAlign w:val="bottom"/>
            <w:shd w:val="clear" w:color="auto" w:fill="CCEEFF"/>
          </w:tcPr>
          <w:p>
            <w:pPr>
              <w:spacing w:after="0"/>
              <w:rPr>
                <w:sz w:val="17"/>
                <w:szCs w:val="17"/>
                <w:color w:val="auto"/>
              </w:rPr>
            </w:pPr>
          </w:p>
        </w:tc>
        <w:tc>
          <w:tcPr>
            <w:tcW w:w="380" w:type="dxa"/>
            <w:vAlign w:val="bottom"/>
            <w:gridSpan w:val="3"/>
            <w:shd w:val="clear" w:color="auto" w:fill="CCEEFF"/>
          </w:tcPr>
          <w:p>
            <w:pPr>
              <w:jc w:val="right"/>
              <w:ind w:right="120"/>
              <w:spacing w:after="0"/>
              <w:rPr>
                <w:sz w:val="20"/>
                <w:szCs w:val="20"/>
                <w:color w:val="auto"/>
              </w:rPr>
            </w:pPr>
            <w:r>
              <w:rPr>
                <w:rFonts w:ascii="Arial" w:cs="Arial" w:eastAsia="Arial" w:hAnsi="Arial"/>
                <w:sz w:val="17"/>
                <w:szCs w:val="17"/>
                <w:color w:val="auto"/>
                <w:w w:val="84"/>
              </w:rPr>
              <w:t>727</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682</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340" w:type="dxa"/>
            <w:vAlign w:val="bottom"/>
            <w:gridSpan w:val="6"/>
            <w:vMerge w:val="restart"/>
          </w:tcPr>
          <w:p>
            <w:pPr>
              <w:ind w:left="180"/>
              <w:spacing w:after="0"/>
              <w:rPr>
                <w:sz w:val="20"/>
                <w:szCs w:val="20"/>
                <w:color w:val="auto"/>
              </w:rPr>
            </w:pPr>
            <w:r>
              <w:rPr>
                <w:rFonts w:ascii="Arial" w:cs="Arial" w:eastAsia="Arial" w:hAnsi="Arial"/>
                <w:sz w:val="17"/>
                <w:szCs w:val="17"/>
                <w:color w:val="auto"/>
              </w:rPr>
              <w:t>By-product basis</w:t>
            </w:r>
          </w:p>
        </w:tc>
        <w:tc>
          <w:tcPr>
            <w:tcW w:w="1720" w:type="dxa"/>
            <w:vAlign w:val="bottom"/>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gridSpan w:val="2"/>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340" w:type="dxa"/>
            <w:vAlign w:val="bottom"/>
            <w:gridSpan w:val="6"/>
            <w:vMerge w:val="continue"/>
          </w:tcPr>
          <w:p>
            <w:pPr>
              <w:spacing w:after="0" w:line="20" w:lineRule="exact"/>
              <w:rPr>
                <w:sz w:val="1"/>
                <w:szCs w:val="1"/>
                <w:color w:val="auto"/>
              </w:rPr>
            </w:pPr>
          </w:p>
        </w:tc>
        <w:tc>
          <w:tcPr>
            <w:tcW w:w="1820" w:type="dxa"/>
            <w:vAlign w:val="bottom"/>
            <w:gridSpan w:val="3"/>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42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1140" w:type="dxa"/>
            <w:vAlign w:val="bottom"/>
          </w:tcPr>
          <w:p>
            <w:pPr>
              <w:spacing w:after="0"/>
              <w:rPr>
                <w:sz w:val="16"/>
                <w:szCs w:val="16"/>
                <w:color w:val="auto"/>
              </w:rPr>
            </w:pPr>
          </w:p>
        </w:tc>
        <w:tc>
          <w:tcPr>
            <w:tcW w:w="4340" w:type="dxa"/>
            <w:vAlign w:val="bottom"/>
            <w:gridSpan w:val="6"/>
            <w:vMerge w:val="continue"/>
          </w:tcPr>
          <w:p>
            <w:pPr>
              <w:spacing w:after="0"/>
              <w:rPr>
                <w:sz w:val="16"/>
                <w:szCs w:val="16"/>
                <w:color w:val="auto"/>
              </w:rPr>
            </w:pPr>
          </w:p>
        </w:tc>
        <w:tc>
          <w:tcPr>
            <w:tcW w:w="1720" w:type="dxa"/>
            <w:vAlign w:val="bottom"/>
            <w:gridSpan w:val="2"/>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020" w:type="dxa"/>
            <w:vAlign w:val="bottom"/>
            <w:tcBorders>
              <w:top w:val="single" w:sz="8" w:color="auto"/>
            </w:tcBorders>
          </w:tcPr>
          <w:p>
            <w:pPr>
              <w:spacing w:after="0"/>
              <w:rPr>
                <w:sz w:val="16"/>
                <w:szCs w:val="16"/>
                <w:color w:val="auto"/>
              </w:rPr>
            </w:pPr>
          </w:p>
        </w:tc>
        <w:tc>
          <w:tcPr>
            <w:tcW w:w="26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w w:val="84"/>
              </w:rPr>
              <w:t>726</w:t>
            </w:r>
          </w:p>
        </w:tc>
        <w:tc>
          <w:tcPr>
            <w:tcW w:w="1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681</w:t>
            </w:r>
          </w:p>
        </w:tc>
        <w:tc>
          <w:tcPr>
            <w:tcW w:w="1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000" w:type="dxa"/>
            <w:vAlign w:val="bottom"/>
            <w:gridSpan w:val="2"/>
            <w:vMerge w:val="restart"/>
          </w:tcPr>
          <w:p>
            <w:pPr>
              <w:spacing w:after="0"/>
              <w:rPr>
                <w:sz w:val="20"/>
                <w:szCs w:val="20"/>
                <w:color w:val="auto"/>
              </w:rPr>
            </w:pPr>
            <w:r>
              <w:rPr>
                <w:rFonts w:ascii="Arial" w:cs="Arial" w:eastAsia="Arial" w:hAnsi="Arial"/>
                <w:sz w:val="17"/>
                <w:szCs w:val="17"/>
                <w:b w:val="1"/>
                <w:bCs w:val="1"/>
                <w:color w:val="auto"/>
                <w:w w:val="91"/>
              </w:rPr>
              <w:t>Kittila Mine — Minesite Costs per Tonne</w:t>
            </w:r>
          </w:p>
        </w:tc>
        <w:tc>
          <w:tcPr>
            <w:tcW w:w="220" w:type="dxa"/>
            <w:vAlign w:val="bottom"/>
            <w:vMerge w:val="restart"/>
          </w:tcPr>
          <w:p>
            <w:pPr>
              <w:spacing w:after="0"/>
              <w:rPr>
                <w:sz w:val="20"/>
                <w:szCs w:val="20"/>
                <w:color w:val="auto"/>
              </w:rPr>
            </w:pPr>
            <w:r>
              <w:rPr>
                <w:rFonts w:ascii="Arial" w:cs="Arial" w:eastAsia="Arial" w:hAnsi="Arial"/>
                <w:sz w:val="14"/>
                <w:szCs w:val="14"/>
                <w:b w:val="1"/>
                <w:bCs w:val="1"/>
                <w:color w:val="auto"/>
                <w:w w:val="95"/>
              </w:rPr>
              <w:t>(iii)</w:t>
            </w:r>
          </w:p>
        </w:tc>
        <w:tc>
          <w:tcPr>
            <w:tcW w:w="1160" w:type="dxa"/>
            <w:vAlign w:val="bottom"/>
          </w:tcPr>
          <w:p>
            <w:pPr>
              <w:spacing w:after="0" w:line="20" w:lineRule="exact"/>
              <w:rPr>
                <w:sz w:val="1"/>
                <w:szCs w:val="1"/>
                <w:color w:val="auto"/>
              </w:rPr>
            </w:pPr>
          </w:p>
        </w:tc>
        <w:tc>
          <w:tcPr>
            <w:tcW w:w="1100" w:type="dxa"/>
            <w:vAlign w:val="bottom"/>
            <w:gridSpan w:val="3"/>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3000" w:type="dxa"/>
            <w:vAlign w:val="bottom"/>
            <w:gridSpan w:val="2"/>
            <w:vMerge w:val="continue"/>
          </w:tcPr>
          <w:p>
            <w:pPr>
              <w:spacing w:after="0" w:line="20" w:lineRule="exact"/>
              <w:rPr>
                <w:sz w:val="1"/>
                <w:szCs w:val="1"/>
                <w:color w:val="auto"/>
              </w:rPr>
            </w:pPr>
          </w:p>
        </w:tc>
        <w:tc>
          <w:tcPr>
            <w:tcW w:w="220" w:type="dxa"/>
            <w:vAlign w:val="bottom"/>
            <w:vMerge w:val="continue"/>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100" w:type="dxa"/>
            <w:vAlign w:val="bottom"/>
            <w:gridSpan w:val="3"/>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3000" w:type="dxa"/>
            <w:vAlign w:val="bottom"/>
            <w:gridSpan w:val="2"/>
            <w:vMerge w:val="continue"/>
          </w:tcPr>
          <w:p>
            <w:pPr>
              <w:spacing w:after="0"/>
              <w:rPr>
                <w:sz w:val="24"/>
                <w:szCs w:val="24"/>
                <w:color w:val="auto"/>
              </w:rPr>
            </w:pPr>
          </w:p>
        </w:tc>
        <w:tc>
          <w:tcPr>
            <w:tcW w:w="220" w:type="dxa"/>
            <w:vAlign w:val="bottom"/>
            <w:tcBorders>
              <w:bottom w:val="single" w:sz="8" w:color="auto"/>
            </w:tcBorders>
            <w:vMerge w:val="continue"/>
          </w:tcPr>
          <w:p>
            <w:pPr>
              <w:spacing w:after="0"/>
              <w:rPr>
                <w:sz w:val="24"/>
                <w:szCs w:val="24"/>
                <w:color w:val="auto"/>
              </w:rPr>
            </w:pPr>
          </w:p>
        </w:tc>
        <w:tc>
          <w:tcPr>
            <w:tcW w:w="1160" w:type="dxa"/>
            <w:vAlign w:val="bottom"/>
            <w:vMerge w:val="restart"/>
          </w:tcPr>
          <w:p>
            <w:pPr>
              <w:spacing w:after="0"/>
              <w:rPr>
                <w:sz w:val="24"/>
                <w:szCs w:val="24"/>
                <w:color w:val="auto"/>
              </w:rPr>
            </w:pPr>
          </w:p>
        </w:tc>
        <w:tc>
          <w:tcPr>
            <w:tcW w:w="1100" w:type="dxa"/>
            <w:vAlign w:val="bottom"/>
            <w:gridSpan w:val="3"/>
            <w:vMerge w:val="restart"/>
          </w:tcPr>
          <w:p>
            <w:pPr>
              <w:spacing w:after="0"/>
              <w:rPr>
                <w:sz w:val="24"/>
                <w:szCs w:val="24"/>
                <w:color w:val="auto"/>
              </w:rPr>
            </w:pPr>
          </w:p>
        </w:tc>
        <w:tc>
          <w:tcPr>
            <w:tcW w:w="1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000" w:type="dxa"/>
            <w:vAlign w:val="bottom"/>
            <w:tcBorders>
              <w:bottom w:val="single" w:sz="8" w:color="auto"/>
            </w:tcBorders>
            <w:gridSpan w:val="2"/>
            <w:vMerge w:val="continue"/>
          </w:tcPr>
          <w:p>
            <w:pPr>
              <w:spacing w:after="0"/>
              <w:rPr>
                <w:sz w:val="3"/>
                <w:szCs w:val="3"/>
                <w:color w:val="auto"/>
              </w:rPr>
            </w:pPr>
          </w:p>
        </w:tc>
        <w:tc>
          <w:tcPr>
            <w:tcW w:w="220" w:type="dxa"/>
            <w:vAlign w:val="bottom"/>
          </w:tcPr>
          <w:p>
            <w:pPr>
              <w:spacing w:after="0"/>
              <w:rPr>
                <w:sz w:val="3"/>
                <w:szCs w:val="3"/>
                <w:color w:val="auto"/>
              </w:rPr>
            </w:pPr>
          </w:p>
        </w:tc>
        <w:tc>
          <w:tcPr>
            <w:tcW w:w="1160" w:type="dxa"/>
            <w:vAlign w:val="bottom"/>
            <w:vMerge w:val="continue"/>
          </w:tcPr>
          <w:p>
            <w:pPr>
              <w:spacing w:after="0"/>
              <w:rPr>
                <w:sz w:val="3"/>
                <w:szCs w:val="3"/>
                <w:color w:val="auto"/>
              </w:rPr>
            </w:pPr>
          </w:p>
        </w:tc>
        <w:tc>
          <w:tcPr>
            <w:tcW w:w="1100" w:type="dxa"/>
            <w:vAlign w:val="bottom"/>
            <w:gridSpan w:val="3"/>
            <w:vMerge w:val="continue"/>
          </w:tcPr>
          <w:p>
            <w:pPr>
              <w:spacing w:after="0"/>
              <w:rPr>
                <w:sz w:val="3"/>
                <w:szCs w:val="3"/>
                <w:color w:val="auto"/>
              </w:rPr>
            </w:pPr>
          </w:p>
        </w:tc>
        <w:tc>
          <w:tcPr>
            <w:tcW w:w="1200" w:type="dxa"/>
            <w:vAlign w:val="bottom"/>
          </w:tcPr>
          <w:p>
            <w:pPr>
              <w:spacing w:after="0"/>
              <w:rPr>
                <w:sz w:val="3"/>
                <w:szCs w:val="3"/>
                <w:color w:val="auto"/>
              </w:rPr>
            </w:pPr>
          </w:p>
        </w:tc>
        <w:tc>
          <w:tcPr>
            <w:tcW w:w="5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400" w:type="dxa"/>
            <w:vAlign w:val="bottom"/>
            <w:gridSpan w:val="4"/>
            <w:vMerge w:val="restart"/>
          </w:tcPr>
          <w:p>
            <w:pPr>
              <w:jc w:val="center"/>
              <w:ind w:right="200"/>
              <w:spacing w:after="0"/>
              <w:rPr>
                <w:sz w:val="20"/>
                <w:szCs w:val="20"/>
                <w:color w:val="auto"/>
              </w:rPr>
            </w:pPr>
            <w:r>
              <w:rPr>
                <w:rFonts w:ascii="Arial" w:cs="Arial" w:eastAsia="Arial" w:hAnsi="Arial"/>
                <w:sz w:val="13"/>
                <w:szCs w:val="13"/>
                <w:b w:val="1"/>
                <w:bCs w:val="1"/>
                <w:color w:val="auto"/>
                <w:w w:val="93"/>
              </w:rPr>
              <w:t>Three Months Ended</w:t>
            </w: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580" w:type="dxa"/>
            <w:vAlign w:val="bottom"/>
            <w:gridSpan w:val="3"/>
            <w:vMerge w:val="restart"/>
          </w:tcPr>
          <w:p>
            <w:pPr>
              <w:jc w:val="center"/>
              <w:ind w:right="1400"/>
              <w:spacing w:after="0"/>
              <w:rPr>
                <w:sz w:val="20"/>
                <w:szCs w:val="20"/>
                <w:color w:val="auto"/>
              </w:rPr>
            </w:pPr>
            <w:r>
              <w:rPr>
                <w:rFonts w:ascii="Arial" w:cs="Arial" w:eastAsia="Arial" w:hAnsi="Arial"/>
                <w:sz w:val="13"/>
                <w:szCs w:val="13"/>
                <w:b w:val="1"/>
                <w:bCs w:val="1"/>
                <w:color w:val="auto"/>
                <w:w w:val="91"/>
              </w:rPr>
              <w:t>Three Months Ended</w:t>
            </w:r>
          </w:p>
        </w:tc>
        <w:tc>
          <w:tcPr>
            <w:tcW w:w="0" w:type="dxa"/>
            <w:vAlign w:val="bottom"/>
          </w:tcPr>
          <w:p>
            <w:pPr>
              <w:spacing w:after="0"/>
              <w:rPr>
                <w:sz w:val="1"/>
                <w:szCs w:val="1"/>
                <w:color w:val="auto"/>
              </w:rPr>
            </w:pPr>
          </w:p>
        </w:tc>
      </w:tr>
      <w:tr>
        <w:trPr>
          <w:trHeight w:val="360"/>
        </w:trPr>
        <w:tc>
          <w:tcPr>
            <w:tcW w:w="114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0" w:type="dxa"/>
            <w:vAlign w:val="bottom"/>
            <w:gridSpan w:val="4"/>
            <w:vMerge w:val="continue"/>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580" w:type="dxa"/>
            <w:vAlign w:val="bottom"/>
            <w:gridSpan w:val="3"/>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240" w:type="dxa"/>
            <w:vAlign w:val="bottom"/>
            <w:tcBorders>
              <w:bottom w:val="single" w:sz="8" w:color="auto"/>
            </w:tcBorders>
            <w:gridSpan w:val="3"/>
          </w:tcPr>
          <w:p>
            <w:pPr>
              <w:ind w:left="20"/>
              <w:spacing w:after="0"/>
              <w:rPr>
                <w:sz w:val="20"/>
                <w:szCs w:val="20"/>
                <w:color w:val="auto"/>
              </w:rPr>
            </w:pPr>
            <w:r>
              <w:rPr>
                <w:rFonts w:ascii="Arial" w:cs="Arial" w:eastAsia="Arial" w:hAnsi="Arial"/>
                <w:sz w:val="13"/>
                <w:szCs w:val="13"/>
                <w:b w:val="1"/>
                <w:bCs w:val="1"/>
                <w:color w:val="auto"/>
                <w:w w:val="97"/>
              </w:rPr>
              <w:t>(thousands of United States dollars, except as noted)</w:t>
            </w:r>
          </w:p>
        </w:tc>
        <w:tc>
          <w:tcPr>
            <w:tcW w:w="1100" w:type="dxa"/>
            <w:vAlign w:val="bottom"/>
            <w:gridSpan w:val="3"/>
          </w:tcPr>
          <w:p>
            <w:pPr>
              <w:spacing w:after="0"/>
              <w:rPr>
                <w:sz w:val="13"/>
                <w:szCs w:val="13"/>
                <w:color w:val="auto"/>
              </w:rPr>
            </w:pPr>
          </w:p>
        </w:tc>
        <w:tc>
          <w:tcPr>
            <w:tcW w:w="12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center"/>
              <w:ind w:left="79"/>
              <w:spacing w:after="0"/>
              <w:rPr>
                <w:sz w:val="20"/>
                <w:szCs w:val="20"/>
                <w:color w:val="auto"/>
              </w:rPr>
            </w:pPr>
            <w:r>
              <w:rPr>
                <w:rFonts w:ascii="Arial" w:cs="Arial" w:eastAsia="Arial" w:hAnsi="Arial"/>
                <w:sz w:val="13"/>
                <w:szCs w:val="13"/>
                <w:b w:val="1"/>
                <w:bCs w:val="1"/>
                <w:color w:val="auto"/>
                <w:w w:val="92"/>
              </w:rPr>
              <w:t>March 31, 2016</w:t>
            </w:r>
          </w:p>
        </w:tc>
        <w:tc>
          <w:tcPr>
            <w:tcW w:w="16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ind w:right="19"/>
              <w:spacing w:after="0"/>
              <w:rPr>
                <w:sz w:val="20"/>
                <w:szCs w:val="20"/>
                <w:color w:val="auto"/>
              </w:rPr>
            </w:pPr>
            <w:r>
              <w:rPr>
                <w:rFonts w:ascii="Arial" w:cs="Arial" w:eastAsia="Arial" w:hAnsi="Arial"/>
                <w:sz w:val="13"/>
                <w:szCs w:val="13"/>
                <w:b w:val="1"/>
                <w:bCs w:val="1"/>
                <w:color w:val="auto"/>
                <w:w w:val="92"/>
              </w:rPr>
              <w:t>March 31, 2015</w:t>
            </w:r>
          </w:p>
        </w:tc>
        <w:tc>
          <w:tcPr>
            <w:tcW w:w="130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Production costs</w:t>
            </w:r>
          </w:p>
        </w:tc>
        <w:tc>
          <w:tcPr>
            <w:tcW w:w="182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0" w:type="dxa"/>
            <w:vAlign w:val="bottom"/>
            <w:gridSpan w:val="4"/>
            <w:shd w:val="clear" w:color="auto" w:fill="CCEEFF"/>
          </w:tcPr>
          <w:p>
            <w:pPr>
              <w:jc w:val="right"/>
              <w:ind w:right="120"/>
              <w:spacing w:after="0"/>
              <w:rPr>
                <w:sz w:val="20"/>
                <w:szCs w:val="20"/>
                <w:color w:val="auto"/>
              </w:rPr>
            </w:pPr>
            <w:r>
              <w:rPr>
                <w:rFonts w:ascii="Arial" w:cs="Arial" w:eastAsia="Arial" w:hAnsi="Arial"/>
                <w:sz w:val="17"/>
                <w:szCs w:val="17"/>
                <w:color w:val="auto"/>
              </w:rPr>
              <w:t>36,027</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31,999</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4340" w:type="dxa"/>
            <w:vAlign w:val="bottom"/>
            <w:gridSpan w:val="6"/>
          </w:tcPr>
          <w:p>
            <w:pPr>
              <w:ind w:left="20"/>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w:t>
            </w:r>
          </w:p>
        </w:tc>
        <w:tc>
          <w:tcPr>
            <w:tcW w:w="12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00" w:type="dxa"/>
            <w:vAlign w:val="bottom"/>
            <w:gridSpan w:val="4"/>
          </w:tcPr>
          <w:p>
            <w:pPr>
              <w:jc w:val="right"/>
              <w:ind w:right="60"/>
              <w:spacing w:after="0"/>
              <w:rPr>
                <w:sz w:val="20"/>
                <w:szCs w:val="20"/>
                <w:color w:val="auto"/>
              </w:rPr>
            </w:pPr>
            <w:r>
              <w:rPr>
                <w:rFonts w:ascii="Arial" w:cs="Arial" w:eastAsia="Arial" w:hAnsi="Arial"/>
                <w:sz w:val="17"/>
                <w:szCs w:val="17"/>
                <w:color w:val="auto"/>
              </w:rPr>
              <w:t>(1,197)</w:t>
            </w:r>
          </w:p>
        </w:tc>
        <w:tc>
          <w:tcPr>
            <w:tcW w:w="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20" w:type="dxa"/>
            <w:vAlign w:val="bottom"/>
            <w:gridSpan w:val="2"/>
          </w:tcPr>
          <w:p>
            <w:pPr>
              <w:jc w:val="right"/>
              <w:ind w:right="80"/>
              <w:spacing w:after="0"/>
              <w:rPr>
                <w:sz w:val="20"/>
                <w:szCs w:val="20"/>
                <w:color w:val="auto"/>
              </w:rPr>
            </w:pPr>
            <w:r>
              <w:rPr>
                <w:rFonts w:ascii="Arial" w:cs="Arial" w:eastAsia="Arial" w:hAnsi="Arial"/>
                <w:sz w:val="17"/>
                <w:szCs w:val="17"/>
                <w:color w:val="auto"/>
              </w:rPr>
              <w:t>(1,659)</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140" w:type="dxa"/>
            <w:vAlign w:val="bottom"/>
          </w:tcPr>
          <w:p>
            <w:pPr>
              <w:spacing w:after="0"/>
              <w:rPr>
                <w:sz w:val="17"/>
                <w:szCs w:val="17"/>
                <w:color w:val="auto"/>
              </w:rPr>
            </w:pPr>
          </w:p>
        </w:tc>
        <w:tc>
          <w:tcPr>
            <w:tcW w:w="43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Minesite operating costs</w:t>
            </w:r>
          </w:p>
        </w:tc>
        <w:tc>
          <w:tcPr>
            <w:tcW w:w="1720" w:type="dxa"/>
            <w:vAlign w:val="bottom"/>
            <w:gridSpan w:val="2"/>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00" w:type="dxa"/>
            <w:vAlign w:val="bottom"/>
            <w:gridSpan w:val="4"/>
            <w:shd w:val="clear" w:color="auto" w:fill="CCEEFF"/>
          </w:tcPr>
          <w:p>
            <w:pPr>
              <w:jc w:val="right"/>
              <w:ind w:right="120"/>
              <w:spacing w:after="0"/>
              <w:rPr>
                <w:sz w:val="20"/>
                <w:szCs w:val="20"/>
                <w:color w:val="auto"/>
              </w:rPr>
            </w:pPr>
            <w:r>
              <w:rPr>
                <w:rFonts w:ascii="Arial" w:cs="Arial" w:eastAsia="Arial" w:hAnsi="Arial"/>
                <w:sz w:val="17"/>
                <w:szCs w:val="17"/>
                <w:color w:val="auto"/>
              </w:rPr>
              <w:t>34,830</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30,340</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340" w:type="dxa"/>
            <w:vAlign w:val="bottom"/>
            <w:gridSpan w:val="6"/>
          </w:tcPr>
          <w:p>
            <w:pPr>
              <w:ind w:left="20"/>
              <w:spacing w:after="0"/>
              <w:rPr>
                <w:sz w:val="20"/>
                <w:szCs w:val="20"/>
                <w:color w:val="auto"/>
              </w:rPr>
            </w:pPr>
            <w:r>
              <w:rPr>
                <w:rFonts w:ascii="Arial" w:cs="Arial" w:eastAsia="Arial" w:hAnsi="Arial"/>
                <w:sz w:val="17"/>
                <w:szCs w:val="17"/>
                <w:color w:val="auto"/>
              </w:rPr>
              <w:t>Minesite operating costs (thousands of €)</w:t>
            </w:r>
          </w:p>
        </w:tc>
        <w:tc>
          <w:tcPr>
            <w:tcW w:w="1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00" w:type="dxa"/>
            <w:vAlign w:val="bottom"/>
            <w:gridSpan w:val="4"/>
          </w:tcPr>
          <w:p>
            <w:pPr>
              <w:jc w:val="right"/>
              <w:ind w:right="120"/>
              <w:spacing w:after="0"/>
              <w:rPr>
                <w:sz w:val="20"/>
                <w:szCs w:val="20"/>
                <w:color w:val="auto"/>
              </w:rPr>
            </w:pPr>
            <w:r>
              <w:rPr>
                <w:rFonts w:ascii="Arial" w:cs="Arial" w:eastAsia="Arial" w:hAnsi="Arial"/>
                <w:sz w:val="17"/>
                <w:szCs w:val="17"/>
                <w:color w:val="auto"/>
              </w:rPr>
              <w:t>31,109</w:t>
            </w:r>
          </w:p>
        </w:tc>
        <w:tc>
          <w:tcPr>
            <w:tcW w:w="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26,714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34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Tonnes of ore milled (thousands of tonnes)</w:t>
            </w:r>
          </w:p>
        </w:tc>
        <w:tc>
          <w:tcPr>
            <w:tcW w:w="12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380" w:type="dxa"/>
            <w:vAlign w:val="bottom"/>
            <w:gridSpan w:val="3"/>
            <w:shd w:val="clear" w:color="auto" w:fill="CCEEFF"/>
          </w:tcPr>
          <w:p>
            <w:pPr>
              <w:jc w:val="right"/>
              <w:ind w:right="120"/>
              <w:spacing w:after="0"/>
              <w:rPr>
                <w:sz w:val="20"/>
                <w:szCs w:val="20"/>
                <w:color w:val="auto"/>
              </w:rPr>
            </w:pPr>
            <w:r>
              <w:rPr>
                <w:rFonts w:ascii="Arial" w:cs="Arial" w:eastAsia="Arial" w:hAnsi="Arial"/>
                <w:sz w:val="17"/>
                <w:szCs w:val="17"/>
                <w:color w:val="auto"/>
                <w:w w:val="84"/>
              </w:rPr>
              <w:t>432</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345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340" w:type="dxa"/>
            <w:vAlign w:val="bottom"/>
            <w:gridSpan w:val="6"/>
            <w:vMerge w:val="restart"/>
          </w:tcPr>
          <w:p>
            <w:pPr>
              <w:ind w:left="20"/>
              <w:spacing w:after="0" w:line="314" w:lineRule="exact"/>
              <w:rPr>
                <w:sz w:val="20"/>
                <w:szCs w:val="20"/>
                <w:color w:val="auto"/>
              </w:rPr>
            </w:pPr>
            <w:r>
              <w:rPr>
                <w:rFonts w:ascii="Arial" w:cs="Arial" w:eastAsia="Arial" w:hAnsi="Arial"/>
                <w:sz w:val="17"/>
                <w:szCs w:val="17"/>
                <w:color w:val="auto"/>
              </w:rPr>
              <w:t>Minesite costs per tonne (€)</w:t>
            </w:r>
            <w:r>
              <w:rPr>
                <w:rFonts w:ascii="Arial" w:cs="Arial" w:eastAsia="Arial" w:hAnsi="Arial"/>
                <w:sz w:val="28"/>
                <w:szCs w:val="28"/>
                <w:color w:val="auto"/>
                <w:vertAlign w:val="superscript"/>
              </w:rPr>
              <w:t>(iii)</w:t>
            </w:r>
          </w:p>
        </w:tc>
        <w:tc>
          <w:tcPr>
            <w:tcW w:w="120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gridSpan w:val="2"/>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1140" w:type="dxa"/>
            <w:vAlign w:val="bottom"/>
          </w:tcPr>
          <w:p>
            <w:pPr>
              <w:spacing w:after="0"/>
              <w:rPr>
                <w:sz w:val="23"/>
                <w:szCs w:val="23"/>
                <w:color w:val="auto"/>
              </w:rPr>
            </w:pPr>
          </w:p>
        </w:tc>
        <w:tc>
          <w:tcPr>
            <w:tcW w:w="4340" w:type="dxa"/>
            <w:vAlign w:val="bottom"/>
            <w:gridSpan w:val="6"/>
            <w:vMerge w:val="continue"/>
          </w:tcPr>
          <w:p>
            <w:pPr>
              <w:spacing w:after="0"/>
              <w:rPr>
                <w:sz w:val="23"/>
                <w:szCs w:val="23"/>
                <w:color w:val="auto"/>
              </w:rPr>
            </w:pPr>
          </w:p>
        </w:tc>
        <w:tc>
          <w:tcPr>
            <w:tcW w:w="12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020" w:type="dxa"/>
            <w:vAlign w:val="bottom"/>
          </w:tcPr>
          <w:p>
            <w:pPr>
              <w:spacing w:after="0"/>
              <w:rPr>
                <w:sz w:val="23"/>
                <w:szCs w:val="23"/>
                <w:color w:val="auto"/>
              </w:rPr>
            </w:pPr>
          </w:p>
        </w:tc>
        <w:tc>
          <w:tcPr>
            <w:tcW w:w="380" w:type="dxa"/>
            <w:vAlign w:val="bottom"/>
            <w:gridSpan w:val="3"/>
          </w:tcPr>
          <w:p>
            <w:pPr>
              <w:jc w:val="right"/>
              <w:ind w:right="120"/>
              <w:spacing w:after="0"/>
              <w:rPr>
                <w:sz w:val="20"/>
                <w:szCs w:val="20"/>
                <w:color w:val="auto"/>
              </w:rPr>
            </w:pPr>
            <w:r>
              <w:rPr>
                <w:rFonts w:ascii="Arial" w:cs="Arial" w:eastAsia="Arial" w:hAnsi="Arial"/>
                <w:sz w:val="17"/>
                <w:szCs w:val="17"/>
                <w:color w:val="auto"/>
              </w:rPr>
              <w:t>72</w:t>
            </w:r>
          </w:p>
        </w:tc>
        <w:tc>
          <w:tcPr>
            <w:tcW w:w="40" w:type="dxa"/>
            <w:vAlign w:val="bottom"/>
          </w:tcPr>
          <w:p>
            <w:pPr>
              <w:spacing w:after="0"/>
              <w:rPr>
                <w:sz w:val="23"/>
                <w:szCs w:val="23"/>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77</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00" w:type="dxa"/>
            <w:vAlign w:val="bottom"/>
            <w:vMerge w:val="restart"/>
          </w:tcPr>
          <w:p>
            <w:pPr>
              <w:jc w:val="right"/>
              <w:ind w:right="795"/>
              <w:spacing w:after="0"/>
              <w:rPr>
                <w:sz w:val="20"/>
                <w:szCs w:val="20"/>
                <w:color w:val="auto"/>
              </w:rPr>
            </w:pPr>
            <w:r>
              <w:rPr>
                <w:rFonts w:ascii="Arial" w:cs="Arial" w:eastAsia="Arial" w:hAnsi="Arial"/>
                <w:sz w:val="17"/>
                <w:szCs w:val="17"/>
                <w:color w:val="auto"/>
              </w:rPr>
              <w:t>16</w:t>
            </w:r>
          </w:p>
        </w:tc>
        <w:tc>
          <w:tcPr>
            <w:tcW w:w="5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114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0" w:type="dxa"/>
            <w:vAlign w:val="bottom"/>
            <w:vMerge w:val="continue"/>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186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800" w:type="dxa"/>
            <w:vAlign w:val="bottom"/>
            <w:tcBorders>
              <w:bottom w:val="single" w:sz="8" w:color="808080"/>
            </w:tcBorders>
          </w:tcPr>
          <w:p>
            <w:pPr>
              <w:spacing w:after="0"/>
              <w:rPr>
                <w:sz w:val="19"/>
                <w:szCs w:val="19"/>
                <w:color w:val="auto"/>
              </w:rPr>
            </w:pPr>
          </w:p>
        </w:tc>
        <w:tc>
          <w:tcPr>
            <w:tcW w:w="1200" w:type="dxa"/>
            <w:vAlign w:val="bottom"/>
            <w:tcBorders>
              <w:bottom w:val="single" w:sz="8" w:color="808080"/>
            </w:tcBorders>
          </w:tcPr>
          <w:p>
            <w:pPr>
              <w:spacing w:after="0"/>
              <w:rPr>
                <w:sz w:val="19"/>
                <w:szCs w:val="19"/>
                <w:color w:val="auto"/>
              </w:rPr>
            </w:pPr>
          </w:p>
        </w:tc>
        <w:tc>
          <w:tcPr>
            <w:tcW w:w="5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0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0" w:name="page21"/>
    <w:bookmarkEnd w:id="20"/>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Months Ended March 31, 2016</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Pinos Altos Mine — Total Cash Costs per Ounce of Gold Produced</w:t>
      </w:r>
      <w:r>
        <w:rPr>
          <w:rFonts w:ascii="Arial" w:cs="Arial" w:eastAsia="Arial" w:hAnsi="Arial"/>
          <w:sz w:val="28"/>
          <w:szCs w:val="28"/>
          <w:b w:val="1"/>
          <w:bCs w:val="1"/>
          <w:u w:val="single" w:color="auto"/>
          <w:color w:val="auto"/>
          <w:vertAlign w:val="superscript"/>
        </w:rPr>
        <w:t>(ii)</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22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0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4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13"/>
                <w:szCs w:val="13"/>
                <w:color w:val="auto"/>
              </w:rPr>
            </w:pPr>
          </w:p>
        </w:tc>
        <w:tc>
          <w:tcPr>
            <w:tcW w:w="2580" w:type="dxa"/>
            <w:vAlign w:val="bottom"/>
            <w:gridSpan w:val="3"/>
          </w:tcPr>
          <w:p>
            <w:pPr>
              <w:jc w:val="center"/>
              <w:ind w:right="1400"/>
              <w:spacing w:after="0"/>
              <w:rPr>
                <w:sz w:val="20"/>
                <w:szCs w:val="20"/>
                <w:color w:val="auto"/>
              </w:rPr>
            </w:pPr>
            <w:r>
              <w:rPr>
                <w:rFonts w:ascii="Arial" w:cs="Arial" w:eastAsia="Arial" w:hAnsi="Arial"/>
                <w:sz w:val="13"/>
                <w:szCs w:val="13"/>
                <w:b w:val="1"/>
                <w:bCs w:val="1"/>
                <w:color w:val="auto"/>
                <w:w w:val="91"/>
              </w:rPr>
              <w:t>Three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240" w:type="dxa"/>
            <w:vAlign w:val="bottom"/>
            <w:tcBorders>
              <w:bottom w:val="single" w:sz="8" w:color="auto"/>
            </w:tcBorders>
            <w:gridSpan w:val="3"/>
          </w:tcPr>
          <w:p>
            <w:pPr>
              <w:ind w:left="20"/>
              <w:spacing w:after="0"/>
              <w:rPr>
                <w:sz w:val="20"/>
                <w:szCs w:val="20"/>
                <w:color w:val="auto"/>
              </w:rPr>
            </w:pPr>
            <w:r>
              <w:rPr>
                <w:rFonts w:ascii="Arial" w:cs="Arial" w:eastAsia="Arial" w:hAnsi="Arial"/>
                <w:sz w:val="13"/>
                <w:szCs w:val="13"/>
                <w:b w:val="1"/>
                <w:bCs w:val="1"/>
                <w:color w:val="auto"/>
                <w:w w:val="97"/>
              </w:rPr>
              <w:t>(thousands of United States dollars, except as noted)</w:t>
            </w:r>
          </w:p>
        </w:tc>
        <w:tc>
          <w:tcPr>
            <w:tcW w:w="2820" w:type="dxa"/>
            <w:vAlign w:val="bottom"/>
            <w:gridSpan w:val="3"/>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5"/>
              </w:rPr>
              <w:t>March 31,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ind w:right="19"/>
              <w:spacing w:after="0"/>
              <w:rPr>
                <w:sz w:val="20"/>
                <w:szCs w:val="20"/>
                <w:color w:val="auto"/>
              </w:rPr>
            </w:pPr>
            <w:r>
              <w:rPr>
                <w:rFonts w:ascii="Arial" w:cs="Arial" w:eastAsia="Arial" w:hAnsi="Arial"/>
                <w:sz w:val="13"/>
                <w:szCs w:val="13"/>
                <w:b w:val="1"/>
                <w:bCs w:val="1"/>
                <w:color w:val="auto"/>
                <w:w w:val="92"/>
              </w:rPr>
              <w:t>March 31, 2015</w:t>
            </w:r>
          </w:p>
        </w:tc>
        <w:tc>
          <w:tcPr>
            <w:tcW w:w="130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606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23,856</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24,212</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6060" w:type="dxa"/>
            <w:vAlign w:val="bottom"/>
            <w:gridSpan w:val="6"/>
          </w:tcPr>
          <w:p>
            <w:pPr>
              <w:ind w:left="20"/>
              <w:spacing w:after="0"/>
              <w:rPr>
                <w:sz w:val="20"/>
                <w:szCs w:val="20"/>
                <w:color w:val="auto"/>
              </w:rPr>
            </w:pPr>
            <w:r>
              <w:rPr>
                <w:rFonts w:ascii="Arial" w:cs="Arial" w:eastAsia="Arial" w:hAnsi="Arial"/>
                <w:sz w:val="17"/>
                <w:szCs w:val="17"/>
                <w:color w:val="auto"/>
              </w:rPr>
              <w:t>Adjustments:</w:t>
            </w: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6060" w:type="dxa"/>
            <w:vAlign w:val="bottom"/>
            <w:gridSpan w:val="6"/>
            <w:shd w:val="clear" w:color="auto" w:fill="CCEEFF"/>
          </w:tcPr>
          <w:p>
            <w:pPr>
              <w:ind w:left="360"/>
              <w:spacing w:after="0" w:line="249"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(iv)</w:t>
            </w: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1,635</w:t>
            </w:r>
          </w:p>
        </w:tc>
        <w:tc>
          <w:tcPr>
            <w:tcW w:w="100" w:type="dxa"/>
            <w:vAlign w:val="bottom"/>
            <w:shd w:val="clear" w:color="auto" w:fill="CCEEFF"/>
          </w:tcPr>
          <w:p>
            <w:pPr>
              <w:spacing w:after="0"/>
              <w:rPr>
                <w:sz w:val="21"/>
                <w:szCs w:val="21"/>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3,244</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6060" w:type="dxa"/>
            <w:vAlign w:val="bottom"/>
            <w:gridSpan w:val="6"/>
            <w:vMerge w:val="restart"/>
          </w:tcPr>
          <w:p>
            <w:pPr>
              <w:ind w:left="20"/>
              <w:spacing w:after="0"/>
              <w:rPr>
                <w:sz w:val="20"/>
                <w:szCs w:val="20"/>
                <w:color w:val="auto"/>
              </w:rPr>
            </w:pPr>
            <w:r>
              <w:rPr>
                <w:rFonts w:ascii="Arial" w:cs="Arial" w:eastAsia="Arial" w:hAnsi="Arial"/>
                <w:sz w:val="17"/>
                <w:szCs w:val="17"/>
                <w:color w:val="auto"/>
              </w:rPr>
              <w:t>Cash operating costs (co-product basis)</w:t>
            </w: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42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6060" w:type="dxa"/>
            <w:vAlign w:val="bottom"/>
            <w:gridSpan w:val="6"/>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25,491</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27,456</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6060" w:type="dxa"/>
            <w:vAlign w:val="bottom"/>
            <w:gridSpan w:val="6"/>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(8,972)</w:t>
            </w: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(9,579)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6060" w:type="dxa"/>
            <w:vAlign w:val="bottom"/>
            <w:gridSpan w:val="6"/>
            <w:vMerge w:val="restart"/>
          </w:tcPr>
          <w:p>
            <w:pPr>
              <w:ind w:left="20"/>
              <w:spacing w:after="0"/>
              <w:rPr>
                <w:sz w:val="20"/>
                <w:szCs w:val="20"/>
                <w:color w:val="auto"/>
              </w:rPr>
            </w:pPr>
            <w:r>
              <w:rPr>
                <w:rFonts w:ascii="Arial" w:cs="Arial" w:eastAsia="Arial" w:hAnsi="Arial"/>
                <w:sz w:val="17"/>
                <w:szCs w:val="17"/>
                <w:color w:val="auto"/>
              </w:rPr>
              <w:t>Cash operating costs (by-product basis)</w:t>
            </w: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42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6060" w:type="dxa"/>
            <w:vAlign w:val="bottom"/>
            <w:gridSpan w:val="6"/>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16,519</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17,877</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606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Gold production (ounces)</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48,117</w:t>
            </w: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50,106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6060" w:type="dxa"/>
            <w:vAlign w:val="bottom"/>
            <w:gridSpan w:val="6"/>
          </w:tcPr>
          <w:p>
            <w:pPr>
              <w:ind w:left="20"/>
              <w:spacing w:after="0" w:line="276" w:lineRule="exact"/>
              <w:rPr>
                <w:sz w:val="20"/>
                <w:szCs w:val="20"/>
                <w:color w:val="auto"/>
              </w:rPr>
            </w:pPr>
            <w:r>
              <w:rPr>
                <w:rFonts w:ascii="Arial" w:cs="Arial" w:eastAsia="Arial" w:hAnsi="Arial"/>
                <w:sz w:val="17"/>
                <w:szCs w:val="17"/>
                <w:color w:val="auto"/>
              </w:rPr>
              <w:t>Total cash costs per ounce of gold produced ($ per ounce)</w:t>
            </w:r>
            <w:r>
              <w:rPr>
                <w:rFonts w:ascii="Arial" w:cs="Arial" w:eastAsia="Arial" w:hAnsi="Arial"/>
                <w:sz w:val="28"/>
                <w:szCs w:val="28"/>
                <w:color w:val="auto"/>
                <w:vertAlign w:val="superscript"/>
              </w:rPr>
              <w:t>(ii)</w:t>
            </w:r>
            <w:r>
              <w:rPr>
                <w:rFonts w:ascii="Arial" w:cs="Arial" w:eastAsia="Arial" w:hAnsi="Arial"/>
                <w:sz w:val="17"/>
                <w:szCs w:val="17"/>
                <w:color w:val="auto"/>
              </w:rPr>
              <w:t>:</w:t>
            </w:r>
          </w:p>
        </w:tc>
        <w:tc>
          <w:tcPr>
            <w:tcW w:w="100" w:type="dxa"/>
            <w:vAlign w:val="bottom"/>
            <w:tcBorders>
              <w:bottom w:val="single" w:sz="8" w:color="auto"/>
            </w:tcBorders>
          </w:tcPr>
          <w:p>
            <w:pPr>
              <w:spacing w:after="0"/>
              <w:rPr>
                <w:sz w:val="23"/>
                <w:szCs w:val="23"/>
                <w:color w:val="auto"/>
              </w:rPr>
            </w:pPr>
          </w:p>
        </w:tc>
        <w:tc>
          <w:tcPr>
            <w:tcW w:w="1280" w:type="dxa"/>
            <w:vAlign w:val="bottom"/>
            <w:tcBorders>
              <w:bottom w:val="single" w:sz="8" w:color="auto"/>
            </w:tcBorders>
          </w:tcPr>
          <w:p>
            <w:pPr>
              <w:spacing w:after="0"/>
              <w:rPr>
                <w:sz w:val="23"/>
                <w:szCs w:val="23"/>
                <w:color w:val="auto"/>
              </w:rPr>
            </w:pPr>
          </w:p>
        </w:tc>
        <w:tc>
          <w:tcPr>
            <w:tcW w:w="160" w:type="dxa"/>
            <w:vAlign w:val="bottom"/>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280" w:type="dxa"/>
            <w:vAlign w:val="bottom"/>
            <w:tcBorders>
              <w:bottom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6060" w:type="dxa"/>
            <w:vAlign w:val="bottom"/>
            <w:gridSpan w:val="6"/>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530</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548</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6060" w:type="dxa"/>
            <w:vAlign w:val="bottom"/>
            <w:gridSpan w:val="6"/>
            <w:vMerge w:val="restart"/>
          </w:tcPr>
          <w:p>
            <w:pPr>
              <w:ind w:left="180"/>
              <w:spacing w:after="0"/>
              <w:rPr>
                <w:sz w:val="20"/>
                <w:szCs w:val="20"/>
                <w:color w:val="auto"/>
              </w:rPr>
            </w:pPr>
            <w:r>
              <w:rPr>
                <w:rFonts w:ascii="Arial" w:cs="Arial" w:eastAsia="Arial" w:hAnsi="Arial"/>
                <w:sz w:val="17"/>
                <w:szCs w:val="17"/>
                <w:color w:val="auto"/>
              </w:rPr>
              <w:t>By-product basis</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6060" w:type="dxa"/>
            <w:vAlign w:val="bottom"/>
            <w:gridSpan w:val="6"/>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1140" w:type="dxa"/>
            <w:vAlign w:val="bottom"/>
          </w:tcPr>
          <w:p>
            <w:pPr>
              <w:spacing w:after="0"/>
              <w:rPr>
                <w:sz w:val="16"/>
                <w:szCs w:val="16"/>
                <w:color w:val="auto"/>
              </w:rPr>
            </w:pPr>
          </w:p>
        </w:tc>
        <w:tc>
          <w:tcPr>
            <w:tcW w:w="6060" w:type="dxa"/>
            <w:vAlign w:val="bottom"/>
            <w:gridSpan w:val="6"/>
            <w:vMerge w:val="continue"/>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343</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357</w:t>
            </w:r>
          </w:p>
        </w:tc>
        <w:tc>
          <w:tcPr>
            <w:tcW w:w="1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340" w:type="dxa"/>
            <w:vAlign w:val="bottom"/>
            <w:gridSpan w:val="2"/>
            <w:vMerge w:val="restart"/>
          </w:tcPr>
          <w:p>
            <w:pPr>
              <w:spacing w:after="0"/>
              <w:rPr>
                <w:sz w:val="20"/>
                <w:szCs w:val="20"/>
                <w:color w:val="auto"/>
              </w:rPr>
            </w:pPr>
            <w:r>
              <w:rPr>
                <w:rFonts w:ascii="Arial" w:cs="Arial" w:eastAsia="Arial" w:hAnsi="Arial"/>
                <w:sz w:val="17"/>
                <w:szCs w:val="17"/>
                <w:b w:val="1"/>
                <w:bCs w:val="1"/>
                <w:color w:val="auto"/>
                <w:w w:val="89"/>
              </w:rPr>
              <w:t>Pinos Altos Mine — Minesite Costs per Tonne</w:t>
            </w:r>
          </w:p>
        </w:tc>
        <w:tc>
          <w:tcPr>
            <w:tcW w:w="220" w:type="dxa"/>
            <w:vAlign w:val="bottom"/>
            <w:vMerge w:val="restart"/>
          </w:tcPr>
          <w:p>
            <w:pPr>
              <w:spacing w:after="0"/>
              <w:rPr>
                <w:sz w:val="20"/>
                <w:szCs w:val="20"/>
                <w:color w:val="auto"/>
              </w:rPr>
            </w:pPr>
            <w:r>
              <w:rPr>
                <w:rFonts w:ascii="Arial" w:cs="Arial" w:eastAsia="Arial" w:hAnsi="Arial"/>
                <w:sz w:val="14"/>
                <w:szCs w:val="14"/>
                <w:b w:val="1"/>
                <w:bCs w:val="1"/>
                <w:color w:val="auto"/>
                <w:w w:val="95"/>
              </w:rPr>
              <w:t>(iii)</w:t>
            </w:r>
          </w:p>
        </w:tc>
        <w:tc>
          <w:tcPr>
            <w:tcW w:w="82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3340" w:type="dxa"/>
            <w:vAlign w:val="bottom"/>
            <w:gridSpan w:val="2"/>
            <w:vMerge w:val="continue"/>
          </w:tcPr>
          <w:p>
            <w:pPr>
              <w:spacing w:after="0" w:line="20" w:lineRule="exact"/>
              <w:rPr>
                <w:sz w:val="1"/>
                <w:szCs w:val="1"/>
                <w:color w:val="auto"/>
              </w:rPr>
            </w:pPr>
          </w:p>
        </w:tc>
        <w:tc>
          <w:tcPr>
            <w:tcW w:w="220" w:type="dxa"/>
            <w:vAlign w:val="bottom"/>
            <w:vMerge w:val="continue"/>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3340" w:type="dxa"/>
            <w:vAlign w:val="bottom"/>
            <w:gridSpan w:val="2"/>
            <w:vMerge w:val="continue"/>
          </w:tcPr>
          <w:p>
            <w:pPr>
              <w:spacing w:after="0"/>
              <w:rPr>
                <w:sz w:val="24"/>
                <w:szCs w:val="24"/>
                <w:color w:val="auto"/>
              </w:rPr>
            </w:pPr>
          </w:p>
        </w:tc>
        <w:tc>
          <w:tcPr>
            <w:tcW w:w="220" w:type="dxa"/>
            <w:vAlign w:val="bottom"/>
            <w:tcBorders>
              <w:bottom w:val="single" w:sz="8" w:color="auto"/>
            </w:tcBorders>
            <w:vMerge w:val="continue"/>
          </w:tcPr>
          <w:p>
            <w:pPr>
              <w:spacing w:after="0"/>
              <w:rPr>
                <w:sz w:val="24"/>
                <w:szCs w:val="24"/>
                <w:color w:val="auto"/>
              </w:rPr>
            </w:pPr>
          </w:p>
        </w:tc>
        <w:tc>
          <w:tcPr>
            <w:tcW w:w="820" w:type="dxa"/>
            <w:vAlign w:val="bottom"/>
            <w:vMerge w:val="restart"/>
          </w:tcPr>
          <w:p>
            <w:pPr>
              <w:spacing w:after="0"/>
              <w:rPr>
                <w:sz w:val="24"/>
                <w:szCs w:val="24"/>
                <w:color w:val="auto"/>
              </w:rPr>
            </w:pPr>
          </w:p>
        </w:tc>
        <w:tc>
          <w:tcPr>
            <w:tcW w:w="2080" w:type="dxa"/>
            <w:vAlign w:val="bottom"/>
            <w:vMerge w:val="restart"/>
          </w:tcPr>
          <w:p>
            <w:pPr>
              <w:spacing w:after="0"/>
              <w:rPr>
                <w:sz w:val="24"/>
                <w:szCs w:val="24"/>
                <w:color w:val="auto"/>
              </w:rPr>
            </w:pPr>
          </w:p>
        </w:tc>
        <w:tc>
          <w:tcPr>
            <w:tcW w:w="160" w:type="dxa"/>
            <w:vAlign w:val="bottom"/>
            <w:vMerge w:val="restart"/>
          </w:tcPr>
          <w:p>
            <w:pPr>
              <w:spacing w:after="0"/>
              <w:rPr>
                <w:sz w:val="24"/>
                <w:szCs w:val="24"/>
                <w:color w:val="auto"/>
              </w:rPr>
            </w:pPr>
          </w:p>
        </w:tc>
        <w:tc>
          <w:tcPr>
            <w:tcW w:w="580" w:type="dxa"/>
            <w:vAlign w:val="bottom"/>
            <w:vMerge w:val="restart"/>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340" w:type="dxa"/>
            <w:vAlign w:val="bottom"/>
            <w:tcBorders>
              <w:bottom w:val="single" w:sz="8" w:color="auto"/>
            </w:tcBorders>
            <w:gridSpan w:val="2"/>
            <w:vMerge w:val="continue"/>
          </w:tcPr>
          <w:p>
            <w:pPr>
              <w:spacing w:after="0"/>
              <w:rPr>
                <w:sz w:val="3"/>
                <w:szCs w:val="3"/>
                <w:color w:val="auto"/>
              </w:rPr>
            </w:pPr>
          </w:p>
        </w:tc>
        <w:tc>
          <w:tcPr>
            <w:tcW w:w="220" w:type="dxa"/>
            <w:vAlign w:val="bottom"/>
          </w:tcPr>
          <w:p>
            <w:pPr>
              <w:spacing w:after="0"/>
              <w:rPr>
                <w:sz w:val="3"/>
                <w:szCs w:val="3"/>
                <w:color w:val="auto"/>
              </w:rPr>
            </w:pPr>
          </w:p>
        </w:tc>
        <w:tc>
          <w:tcPr>
            <w:tcW w:w="820" w:type="dxa"/>
            <w:vAlign w:val="bottom"/>
            <w:vMerge w:val="continue"/>
          </w:tcPr>
          <w:p>
            <w:pPr>
              <w:spacing w:after="0"/>
              <w:rPr>
                <w:sz w:val="3"/>
                <w:szCs w:val="3"/>
                <w:color w:val="auto"/>
              </w:rPr>
            </w:pPr>
          </w:p>
        </w:tc>
        <w:tc>
          <w:tcPr>
            <w:tcW w:w="2080" w:type="dxa"/>
            <w:vAlign w:val="bottom"/>
            <w:vMerge w:val="continue"/>
          </w:tcPr>
          <w:p>
            <w:pPr>
              <w:spacing w:after="0"/>
              <w:rPr>
                <w:sz w:val="3"/>
                <w:szCs w:val="3"/>
                <w:color w:val="auto"/>
              </w:rPr>
            </w:pPr>
          </w:p>
        </w:tc>
        <w:tc>
          <w:tcPr>
            <w:tcW w:w="160" w:type="dxa"/>
            <w:vAlign w:val="bottom"/>
            <w:vMerge w:val="continue"/>
          </w:tcPr>
          <w:p>
            <w:pPr>
              <w:spacing w:after="0"/>
              <w:rPr>
                <w:sz w:val="3"/>
                <w:szCs w:val="3"/>
                <w:color w:val="auto"/>
              </w:rPr>
            </w:pPr>
          </w:p>
        </w:tc>
        <w:tc>
          <w:tcPr>
            <w:tcW w:w="580" w:type="dxa"/>
            <w:vAlign w:val="bottom"/>
            <w:vMerge w:val="continue"/>
          </w:tcPr>
          <w:p>
            <w:pPr>
              <w:spacing w:after="0"/>
              <w:rPr>
                <w:sz w:val="3"/>
                <w:szCs w:val="3"/>
                <w:color w:val="auto"/>
              </w:rPr>
            </w:pPr>
          </w:p>
        </w:tc>
        <w:tc>
          <w:tcPr>
            <w:tcW w:w="100" w:type="dxa"/>
            <w:vAlign w:val="bottom"/>
          </w:tcPr>
          <w:p>
            <w:pPr>
              <w:spacing w:after="0"/>
              <w:rPr>
                <w:sz w:val="3"/>
                <w:szCs w:val="3"/>
                <w:color w:val="auto"/>
              </w:rPr>
            </w:pPr>
          </w:p>
        </w:tc>
        <w:tc>
          <w:tcPr>
            <w:tcW w:w="144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3"/>
                <w:szCs w:val="3"/>
                <w:color w:val="auto"/>
              </w:rPr>
            </w:pPr>
          </w:p>
        </w:tc>
        <w:tc>
          <w:tcPr>
            <w:tcW w:w="2580" w:type="dxa"/>
            <w:vAlign w:val="bottom"/>
            <w:gridSpan w:val="3"/>
            <w:vMerge w:val="restart"/>
          </w:tcPr>
          <w:p>
            <w:pPr>
              <w:jc w:val="center"/>
              <w:ind w:right="1400"/>
              <w:spacing w:after="0"/>
              <w:rPr>
                <w:sz w:val="20"/>
                <w:szCs w:val="20"/>
                <w:color w:val="auto"/>
              </w:rPr>
            </w:pPr>
            <w:r>
              <w:rPr>
                <w:rFonts w:ascii="Arial" w:cs="Arial" w:eastAsia="Arial" w:hAnsi="Arial"/>
                <w:sz w:val="13"/>
                <w:szCs w:val="13"/>
                <w:b w:val="1"/>
                <w:bCs w:val="1"/>
                <w:color w:val="auto"/>
                <w:w w:val="91"/>
              </w:rPr>
              <w:t>Three Months Ended</w:t>
            </w:r>
          </w:p>
        </w:tc>
        <w:tc>
          <w:tcPr>
            <w:tcW w:w="0" w:type="dxa"/>
            <w:vAlign w:val="bottom"/>
          </w:tcPr>
          <w:p>
            <w:pPr>
              <w:spacing w:after="0"/>
              <w:rPr>
                <w:sz w:val="1"/>
                <w:szCs w:val="1"/>
                <w:color w:val="auto"/>
              </w:rPr>
            </w:pPr>
          </w:p>
        </w:tc>
      </w:tr>
      <w:tr>
        <w:trPr>
          <w:trHeight w:val="360"/>
        </w:trPr>
        <w:tc>
          <w:tcPr>
            <w:tcW w:w="114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40" w:type="dxa"/>
            <w:vAlign w:val="bottom"/>
            <w:gridSpan w:val="2"/>
            <w:vMerge w:val="continue"/>
          </w:tcPr>
          <w:p>
            <w:pPr>
              <w:spacing w:after="0"/>
              <w:rPr>
                <w:sz w:val="24"/>
                <w:szCs w:val="24"/>
                <w:color w:val="auto"/>
              </w:rPr>
            </w:pPr>
          </w:p>
        </w:tc>
        <w:tc>
          <w:tcPr>
            <w:tcW w:w="100" w:type="dxa"/>
            <w:vAlign w:val="bottom"/>
          </w:tcPr>
          <w:p>
            <w:pPr>
              <w:spacing w:after="0"/>
              <w:rPr>
                <w:sz w:val="24"/>
                <w:szCs w:val="24"/>
                <w:color w:val="auto"/>
              </w:rPr>
            </w:pPr>
          </w:p>
        </w:tc>
        <w:tc>
          <w:tcPr>
            <w:tcW w:w="2580" w:type="dxa"/>
            <w:vAlign w:val="bottom"/>
            <w:gridSpan w:val="3"/>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240" w:type="dxa"/>
            <w:vAlign w:val="bottom"/>
            <w:tcBorders>
              <w:bottom w:val="single" w:sz="8" w:color="auto"/>
            </w:tcBorders>
            <w:gridSpan w:val="3"/>
          </w:tcPr>
          <w:p>
            <w:pPr>
              <w:ind w:left="20"/>
              <w:spacing w:after="0"/>
              <w:rPr>
                <w:sz w:val="20"/>
                <w:szCs w:val="20"/>
                <w:color w:val="auto"/>
              </w:rPr>
            </w:pPr>
            <w:r>
              <w:rPr>
                <w:rFonts w:ascii="Arial" w:cs="Arial" w:eastAsia="Arial" w:hAnsi="Arial"/>
                <w:sz w:val="13"/>
                <w:szCs w:val="13"/>
                <w:b w:val="1"/>
                <w:bCs w:val="1"/>
                <w:color w:val="auto"/>
                <w:w w:val="97"/>
              </w:rPr>
              <w:t>(thousands of United States dollars, except as noted)</w:t>
            </w:r>
          </w:p>
        </w:tc>
        <w:tc>
          <w:tcPr>
            <w:tcW w:w="2820" w:type="dxa"/>
            <w:vAlign w:val="bottom"/>
            <w:gridSpan w:val="3"/>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5"/>
              </w:rPr>
              <w:t>March 31,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ind w:right="19"/>
              <w:spacing w:after="0"/>
              <w:rPr>
                <w:sz w:val="20"/>
                <w:szCs w:val="20"/>
                <w:color w:val="auto"/>
              </w:rPr>
            </w:pPr>
            <w:r>
              <w:rPr>
                <w:rFonts w:ascii="Arial" w:cs="Arial" w:eastAsia="Arial" w:hAnsi="Arial"/>
                <w:sz w:val="13"/>
                <w:szCs w:val="13"/>
                <w:b w:val="1"/>
                <w:bCs w:val="1"/>
                <w:color w:val="auto"/>
                <w:w w:val="92"/>
              </w:rPr>
              <w:t>March 31, 2015</w:t>
            </w:r>
          </w:p>
        </w:tc>
        <w:tc>
          <w:tcPr>
            <w:tcW w:w="130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606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23,856</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24,212</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6060" w:type="dxa"/>
            <w:vAlign w:val="bottom"/>
            <w:gridSpan w:val="6"/>
          </w:tcPr>
          <w:p>
            <w:pPr>
              <w:ind w:left="20"/>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w:t>
            </w:r>
          </w:p>
        </w:tc>
        <w:tc>
          <w:tcPr>
            <w:tcW w:w="100" w:type="dxa"/>
            <w:vAlign w:val="bottom"/>
          </w:tcPr>
          <w:p>
            <w:pPr>
              <w:spacing w:after="0"/>
              <w:rPr>
                <w:sz w:val="23"/>
                <w:szCs w:val="23"/>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1,296</w:t>
            </w:r>
          </w:p>
        </w:tc>
        <w:tc>
          <w:tcPr>
            <w:tcW w:w="100" w:type="dxa"/>
            <w:vAlign w:val="bottom"/>
          </w:tcPr>
          <w:p>
            <w:pPr>
              <w:spacing w:after="0"/>
              <w:rPr>
                <w:sz w:val="23"/>
                <w:szCs w:val="23"/>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2,681</w:t>
            </w: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140" w:type="dxa"/>
            <w:vAlign w:val="bottom"/>
          </w:tcPr>
          <w:p>
            <w:pPr>
              <w:spacing w:after="0"/>
              <w:rPr>
                <w:sz w:val="17"/>
                <w:szCs w:val="17"/>
                <w:color w:val="auto"/>
              </w:rPr>
            </w:pPr>
          </w:p>
        </w:tc>
        <w:tc>
          <w:tcPr>
            <w:tcW w:w="606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Minesite operating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25,152</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26,893</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6060" w:type="dxa"/>
            <w:vAlign w:val="bottom"/>
            <w:gridSpan w:val="6"/>
          </w:tcPr>
          <w:p>
            <w:pPr>
              <w:ind w:left="20"/>
              <w:spacing w:after="0"/>
              <w:rPr>
                <w:sz w:val="20"/>
                <w:szCs w:val="20"/>
                <w:color w:val="auto"/>
              </w:rPr>
            </w:pPr>
            <w:r>
              <w:rPr>
                <w:rFonts w:ascii="Arial" w:cs="Arial" w:eastAsia="Arial" w:hAnsi="Arial"/>
                <w:sz w:val="17"/>
                <w:szCs w:val="17"/>
                <w:color w:val="auto"/>
              </w:rPr>
              <w:t>Tonnes of ore processed (thousands of tonnes)</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502</w:t>
            </w:r>
          </w:p>
        </w:tc>
        <w:tc>
          <w:tcPr>
            <w:tcW w:w="100" w:type="dxa"/>
            <w:vAlign w:val="bottom"/>
          </w:tcPr>
          <w:p>
            <w:pPr>
              <w:spacing w:after="0"/>
              <w:rPr>
                <w:sz w:val="18"/>
                <w:szCs w:val="18"/>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584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6060" w:type="dxa"/>
            <w:vAlign w:val="bottom"/>
            <w:gridSpan w:val="6"/>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2"/>
        </w:trPr>
        <w:tc>
          <w:tcPr>
            <w:tcW w:w="1140" w:type="dxa"/>
            <w:vAlign w:val="bottom"/>
          </w:tcPr>
          <w:p>
            <w:pPr>
              <w:spacing w:after="0"/>
              <w:rPr>
                <w:sz w:val="21"/>
                <w:szCs w:val="21"/>
                <w:color w:val="auto"/>
              </w:rPr>
            </w:pPr>
          </w:p>
        </w:tc>
        <w:tc>
          <w:tcPr>
            <w:tcW w:w="6060" w:type="dxa"/>
            <w:vAlign w:val="bottom"/>
            <w:gridSpan w:val="6"/>
            <w:shd w:val="clear" w:color="auto" w:fill="CCEEFF"/>
          </w:tcPr>
          <w:p>
            <w:pPr>
              <w:ind w:left="20"/>
              <w:spacing w:after="0" w:line="242" w:lineRule="exact"/>
              <w:rPr>
                <w:sz w:val="20"/>
                <w:szCs w:val="20"/>
                <w:color w:val="auto"/>
              </w:rPr>
            </w:pPr>
            <w:r>
              <w:rPr>
                <w:rFonts w:ascii="Arial" w:cs="Arial" w:eastAsia="Arial" w:hAnsi="Arial"/>
                <w:sz w:val="17"/>
                <w:szCs w:val="17"/>
                <w:color w:val="auto"/>
              </w:rPr>
              <w:t>Minesite costs per tonne (US$)</w:t>
            </w:r>
            <w:r>
              <w:rPr>
                <w:rFonts w:ascii="Arial" w:cs="Arial" w:eastAsia="Arial" w:hAnsi="Arial"/>
                <w:sz w:val="28"/>
                <w:szCs w:val="28"/>
                <w:color w:val="auto"/>
                <w:vertAlign w:val="superscript"/>
              </w:rPr>
              <w:t>(iii)</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50</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46</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6460" w:type="dxa"/>
            <w:vAlign w:val="bottom"/>
            <w:gridSpan w:val="5"/>
            <w:vMerge w:val="restart"/>
          </w:tcPr>
          <w:p>
            <w:pPr>
              <w:spacing w:after="0"/>
              <w:rPr>
                <w:sz w:val="20"/>
                <w:szCs w:val="20"/>
                <w:color w:val="auto"/>
              </w:rPr>
            </w:pPr>
            <w:r>
              <w:rPr>
                <w:rFonts w:ascii="Arial" w:cs="Arial" w:eastAsia="Arial" w:hAnsi="Arial"/>
                <w:sz w:val="17"/>
                <w:szCs w:val="17"/>
                <w:b w:val="1"/>
                <w:bCs w:val="1"/>
                <w:color w:val="auto"/>
                <w:w w:val="89"/>
              </w:rPr>
              <w:t>Creston Mascota deposit at Pinos Altos — Total Cash Costs per Ounce of Gold Produced</w:t>
            </w:r>
          </w:p>
        </w:tc>
        <w:tc>
          <w:tcPr>
            <w:tcW w:w="160" w:type="dxa"/>
            <w:vAlign w:val="bottom"/>
            <w:vMerge w:val="restart"/>
          </w:tcPr>
          <w:p>
            <w:pPr>
              <w:spacing w:after="0"/>
              <w:rPr>
                <w:sz w:val="20"/>
                <w:szCs w:val="20"/>
                <w:color w:val="auto"/>
              </w:rPr>
            </w:pPr>
            <w:r>
              <w:rPr>
                <w:rFonts w:ascii="Arial" w:cs="Arial" w:eastAsia="Arial" w:hAnsi="Arial"/>
                <w:sz w:val="14"/>
                <w:szCs w:val="14"/>
                <w:b w:val="1"/>
                <w:bCs w:val="1"/>
                <w:color w:val="auto"/>
                <w:w w:val="81"/>
              </w:rPr>
              <w:t>(ii)</w:t>
            </w:r>
          </w:p>
        </w:tc>
        <w:tc>
          <w:tcPr>
            <w:tcW w:w="5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460" w:type="dxa"/>
            <w:vAlign w:val="bottom"/>
            <w:gridSpan w:val="5"/>
            <w:vMerge w:val="continue"/>
          </w:tcPr>
          <w:p>
            <w:pPr>
              <w:spacing w:after="0" w:line="20" w:lineRule="exact"/>
              <w:rPr>
                <w:sz w:val="1"/>
                <w:szCs w:val="1"/>
                <w:color w:val="auto"/>
              </w:rPr>
            </w:pPr>
          </w:p>
        </w:tc>
        <w:tc>
          <w:tcPr>
            <w:tcW w:w="160" w:type="dxa"/>
            <w:vAlign w:val="bottom"/>
            <w:vMerge w:val="continue"/>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6460" w:type="dxa"/>
            <w:vAlign w:val="bottom"/>
            <w:gridSpan w:val="5"/>
            <w:vMerge w:val="continue"/>
          </w:tcPr>
          <w:p>
            <w:pPr>
              <w:spacing w:after="0"/>
              <w:rPr>
                <w:sz w:val="24"/>
                <w:szCs w:val="24"/>
                <w:color w:val="auto"/>
              </w:rPr>
            </w:pPr>
          </w:p>
        </w:tc>
        <w:tc>
          <w:tcPr>
            <w:tcW w:w="160" w:type="dxa"/>
            <w:vAlign w:val="bottom"/>
            <w:tcBorders>
              <w:bottom w:val="single" w:sz="8" w:color="auto"/>
            </w:tcBorders>
            <w:vMerge w:val="continue"/>
          </w:tcPr>
          <w:p>
            <w:pPr>
              <w:spacing w:after="0"/>
              <w:rPr>
                <w:sz w:val="24"/>
                <w:szCs w:val="24"/>
                <w:color w:val="auto"/>
              </w:rPr>
            </w:pPr>
          </w:p>
        </w:tc>
        <w:tc>
          <w:tcPr>
            <w:tcW w:w="580" w:type="dxa"/>
            <w:vAlign w:val="bottom"/>
            <w:vMerge w:val="restart"/>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6460" w:type="dxa"/>
            <w:vAlign w:val="bottom"/>
            <w:tcBorders>
              <w:bottom w:val="single" w:sz="8" w:color="auto"/>
            </w:tcBorders>
            <w:gridSpan w:val="5"/>
            <w:vMerge w:val="continue"/>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100" w:type="dxa"/>
            <w:vAlign w:val="bottom"/>
          </w:tcPr>
          <w:p>
            <w:pPr>
              <w:spacing w:after="0"/>
              <w:rPr>
                <w:sz w:val="3"/>
                <w:szCs w:val="3"/>
                <w:color w:val="auto"/>
              </w:rPr>
            </w:pPr>
          </w:p>
        </w:tc>
        <w:tc>
          <w:tcPr>
            <w:tcW w:w="144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3"/>
                <w:szCs w:val="3"/>
                <w:color w:val="auto"/>
              </w:rPr>
            </w:pPr>
          </w:p>
        </w:tc>
        <w:tc>
          <w:tcPr>
            <w:tcW w:w="2580" w:type="dxa"/>
            <w:vAlign w:val="bottom"/>
            <w:gridSpan w:val="3"/>
            <w:vMerge w:val="restart"/>
          </w:tcPr>
          <w:p>
            <w:pPr>
              <w:jc w:val="center"/>
              <w:ind w:right="1400"/>
              <w:spacing w:after="0"/>
              <w:rPr>
                <w:sz w:val="20"/>
                <w:szCs w:val="20"/>
                <w:color w:val="auto"/>
              </w:rPr>
            </w:pPr>
            <w:r>
              <w:rPr>
                <w:rFonts w:ascii="Arial" w:cs="Arial" w:eastAsia="Arial" w:hAnsi="Arial"/>
                <w:sz w:val="13"/>
                <w:szCs w:val="13"/>
                <w:b w:val="1"/>
                <w:bCs w:val="1"/>
                <w:color w:val="auto"/>
                <w:w w:val="91"/>
              </w:rPr>
              <w:t>Three Months Ended</w:t>
            </w:r>
          </w:p>
        </w:tc>
        <w:tc>
          <w:tcPr>
            <w:tcW w:w="0" w:type="dxa"/>
            <w:vAlign w:val="bottom"/>
          </w:tcPr>
          <w:p>
            <w:pPr>
              <w:spacing w:after="0"/>
              <w:rPr>
                <w:sz w:val="1"/>
                <w:szCs w:val="1"/>
                <w:color w:val="auto"/>
              </w:rPr>
            </w:pPr>
          </w:p>
        </w:tc>
      </w:tr>
      <w:tr>
        <w:trPr>
          <w:trHeight w:val="360"/>
        </w:trPr>
        <w:tc>
          <w:tcPr>
            <w:tcW w:w="114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40" w:type="dxa"/>
            <w:vAlign w:val="bottom"/>
            <w:gridSpan w:val="2"/>
            <w:vMerge w:val="continue"/>
          </w:tcPr>
          <w:p>
            <w:pPr>
              <w:spacing w:after="0"/>
              <w:rPr>
                <w:sz w:val="24"/>
                <w:szCs w:val="24"/>
                <w:color w:val="auto"/>
              </w:rPr>
            </w:pPr>
          </w:p>
        </w:tc>
        <w:tc>
          <w:tcPr>
            <w:tcW w:w="100" w:type="dxa"/>
            <w:vAlign w:val="bottom"/>
          </w:tcPr>
          <w:p>
            <w:pPr>
              <w:spacing w:after="0"/>
              <w:rPr>
                <w:sz w:val="24"/>
                <w:szCs w:val="24"/>
                <w:color w:val="auto"/>
              </w:rPr>
            </w:pPr>
          </w:p>
        </w:tc>
        <w:tc>
          <w:tcPr>
            <w:tcW w:w="2580" w:type="dxa"/>
            <w:vAlign w:val="bottom"/>
            <w:gridSpan w:val="3"/>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240" w:type="dxa"/>
            <w:vAlign w:val="bottom"/>
            <w:tcBorders>
              <w:bottom w:val="single" w:sz="8" w:color="auto"/>
            </w:tcBorders>
            <w:gridSpan w:val="3"/>
          </w:tcPr>
          <w:p>
            <w:pPr>
              <w:ind w:left="20"/>
              <w:spacing w:after="0"/>
              <w:rPr>
                <w:sz w:val="20"/>
                <w:szCs w:val="20"/>
                <w:color w:val="auto"/>
              </w:rPr>
            </w:pPr>
            <w:r>
              <w:rPr>
                <w:rFonts w:ascii="Arial" w:cs="Arial" w:eastAsia="Arial" w:hAnsi="Arial"/>
                <w:sz w:val="13"/>
                <w:szCs w:val="13"/>
                <w:b w:val="1"/>
                <w:bCs w:val="1"/>
                <w:color w:val="auto"/>
                <w:w w:val="97"/>
              </w:rPr>
              <w:t>(thousands of United States dollars, except as noted)</w:t>
            </w:r>
          </w:p>
        </w:tc>
        <w:tc>
          <w:tcPr>
            <w:tcW w:w="2820" w:type="dxa"/>
            <w:vAlign w:val="bottom"/>
            <w:gridSpan w:val="3"/>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5"/>
              </w:rPr>
              <w:t>March 31,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ind w:right="19"/>
              <w:spacing w:after="0"/>
              <w:rPr>
                <w:sz w:val="20"/>
                <w:szCs w:val="20"/>
                <w:color w:val="auto"/>
              </w:rPr>
            </w:pPr>
            <w:r>
              <w:rPr>
                <w:rFonts w:ascii="Arial" w:cs="Arial" w:eastAsia="Arial" w:hAnsi="Arial"/>
                <w:sz w:val="13"/>
                <w:szCs w:val="13"/>
                <w:b w:val="1"/>
                <w:bCs w:val="1"/>
                <w:color w:val="auto"/>
                <w:w w:val="92"/>
              </w:rPr>
              <w:t>March 31, 2015</w:t>
            </w:r>
          </w:p>
        </w:tc>
        <w:tc>
          <w:tcPr>
            <w:tcW w:w="130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606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5,781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5,606</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6060" w:type="dxa"/>
            <w:vAlign w:val="bottom"/>
            <w:gridSpan w:val="6"/>
          </w:tcPr>
          <w:p>
            <w:pPr>
              <w:ind w:left="20"/>
              <w:spacing w:after="0"/>
              <w:rPr>
                <w:sz w:val="20"/>
                <w:szCs w:val="20"/>
                <w:color w:val="auto"/>
              </w:rPr>
            </w:pPr>
            <w:r>
              <w:rPr>
                <w:rFonts w:ascii="Arial" w:cs="Arial" w:eastAsia="Arial" w:hAnsi="Arial"/>
                <w:sz w:val="17"/>
                <w:szCs w:val="17"/>
                <w:color w:val="auto"/>
              </w:rPr>
              <w:t>Adjustments:</w:t>
            </w: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6060" w:type="dxa"/>
            <w:vAlign w:val="bottom"/>
            <w:gridSpan w:val="6"/>
            <w:shd w:val="clear" w:color="auto" w:fill="CCEEFF"/>
          </w:tcPr>
          <w:p>
            <w:pPr>
              <w:ind w:left="360"/>
              <w:spacing w:after="0" w:line="249"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(iv)</w:t>
            </w: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310</w:t>
            </w:r>
          </w:p>
        </w:tc>
        <w:tc>
          <w:tcPr>
            <w:tcW w:w="100" w:type="dxa"/>
            <w:vAlign w:val="bottom"/>
            <w:shd w:val="clear" w:color="auto" w:fill="CCEEFF"/>
          </w:tcPr>
          <w:p>
            <w:pPr>
              <w:spacing w:after="0"/>
              <w:rPr>
                <w:sz w:val="21"/>
                <w:szCs w:val="21"/>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467</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6060" w:type="dxa"/>
            <w:vAlign w:val="bottom"/>
            <w:gridSpan w:val="6"/>
            <w:vMerge w:val="restart"/>
          </w:tcPr>
          <w:p>
            <w:pPr>
              <w:ind w:left="20"/>
              <w:spacing w:after="0"/>
              <w:rPr>
                <w:sz w:val="20"/>
                <w:szCs w:val="20"/>
                <w:color w:val="auto"/>
              </w:rPr>
            </w:pPr>
            <w:r>
              <w:rPr>
                <w:rFonts w:ascii="Arial" w:cs="Arial" w:eastAsia="Arial" w:hAnsi="Arial"/>
                <w:sz w:val="17"/>
                <w:szCs w:val="17"/>
                <w:color w:val="auto"/>
              </w:rPr>
              <w:t>Cash operating costs (co-product basis)</w:t>
            </w: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42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6060" w:type="dxa"/>
            <w:vAlign w:val="bottom"/>
            <w:gridSpan w:val="6"/>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6,091</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6,073</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6060" w:type="dxa"/>
            <w:vAlign w:val="bottom"/>
            <w:gridSpan w:val="6"/>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(782)</w:t>
            </w: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(547)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6060" w:type="dxa"/>
            <w:vAlign w:val="bottom"/>
            <w:gridSpan w:val="6"/>
            <w:vMerge w:val="restart"/>
          </w:tcPr>
          <w:p>
            <w:pPr>
              <w:ind w:left="20"/>
              <w:spacing w:after="0"/>
              <w:rPr>
                <w:sz w:val="20"/>
                <w:szCs w:val="20"/>
                <w:color w:val="auto"/>
              </w:rPr>
            </w:pPr>
            <w:r>
              <w:rPr>
                <w:rFonts w:ascii="Arial" w:cs="Arial" w:eastAsia="Arial" w:hAnsi="Arial"/>
                <w:sz w:val="17"/>
                <w:szCs w:val="17"/>
                <w:color w:val="auto"/>
              </w:rPr>
              <w:t>Cash operating costs (by-product basis)</w:t>
            </w: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42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6060" w:type="dxa"/>
            <w:vAlign w:val="bottom"/>
            <w:gridSpan w:val="6"/>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5,309</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5,526</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6060" w:type="dxa"/>
            <w:vAlign w:val="bottom"/>
            <w:gridSpan w:val="6"/>
            <w:shd w:val="clear" w:color="auto" w:fill="CCEEFF"/>
          </w:tcPr>
          <w:p>
            <w:pPr>
              <w:ind w:left="20"/>
              <w:spacing w:after="0"/>
              <w:rPr>
                <w:sz w:val="20"/>
                <w:szCs w:val="20"/>
                <w:color w:val="auto"/>
              </w:rPr>
            </w:pPr>
            <w:r>
              <w:rPr>
                <w:rFonts w:ascii="Arial" w:cs="Arial" w:eastAsia="Arial" w:hAnsi="Arial"/>
                <w:sz w:val="17"/>
                <w:szCs w:val="17"/>
                <w:color w:val="auto"/>
              </w:rPr>
              <w:t>Gold production (ounces)</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11,551</w:t>
            </w: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12,448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6060" w:type="dxa"/>
            <w:vAlign w:val="bottom"/>
            <w:gridSpan w:val="6"/>
          </w:tcPr>
          <w:p>
            <w:pPr>
              <w:ind w:left="20"/>
              <w:spacing w:after="0" w:line="276" w:lineRule="exact"/>
              <w:rPr>
                <w:sz w:val="20"/>
                <w:szCs w:val="20"/>
                <w:color w:val="auto"/>
              </w:rPr>
            </w:pPr>
            <w:r>
              <w:rPr>
                <w:rFonts w:ascii="Arial" w:cs="Arial" w:eastAsia="Arial" w:hAnsi="Arial"/>
                <w:sz w:val="17"/>
                <w:szCs w:val="17"/>
                <w:color w:val="auto"/>
              </w:rPr>
              <w:t>Total cash costs per ounce of gold produced ($ per ounce)</w:t>
            </w:r>
            <w:r>
              <w:rPr>
                <w:rFonts w:ascii="Arial" w:cs="Arial" w:eastAsia="Arial" w:hAnsi="Arial"/>
                <w:sz w:val="28"/>
                <w:szCs w:val="28"/>
                <w:color w:val="auto"/>
                <w:vertAlign w:val="superscript"/>
              </w:rPr>
              <w:t>(ii)</w:t>
            </w:r>
            <w:r>
              <w:rPr>
                <w:rFonts w:ascii="Arial" w:cs="Arial" w:eastAsia="Arial" w:hAnsi="Arial"/>
                <w:sz w:val="17"/>
                <w:szCs w:val="17"/>
                <w:color w:val="auto"/>
              </w:rPr>
              <w:t>:</w:t>
            </w:r>
          </w:p>
        </w:tc>
        <w:tc>
          <w:tcPr>
            <w:tcW w:w="100" w:type="dxa"/>
            <w:vAlign w:val="bottom"/>
            <w:tcBorders>
              <w:bottom w:val="single" w:sz="8" w:color="auto"/>
            </w:tcBorders>
          </w:tcPr>
          <w:p>
            <w:pPr>
              <w:spacing w:after="0"/>
              <w:rPr>
                <w:sz w:val="23"/>
                <w:szCs w:val="23"/>
                <w:color w:val="auto"/>
              </w:rPr>
            </w:pPr>
          </w:p>
        </w:tc>
        <w:tc>
          <w:tcPr>
            <w:tcW w:w="1280" w:type="dxa"/>
            <w:vAlign w:val="bottom"/>
            <w:tcBorders>
              <w:bottom w:val="single" w:sz="8" w:color="auto"/>
            </w:tcBorders>
          </w:tcPr>
          <w:p>
            <w:pPr>
              <w:spacing w:after="0"/>
              <w:rPr>
                <w:sz w:val="23"/>
                <w:szCs w:val="23"/>
                <w:color w:val="auto"/>
              </w:rPr>
            </w:pPr>
          </w:p>
        </w:tc>
        <w:tc>
          <w:tcPr>
            <w:tcW w:w="160" w:type="dxa"/>
            <w:vAlign w:val="bottom"/>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280" w:type="dxa"/>
            <w:vAlign w:val="bottom"/>
            <w:tcBorders>
              <w:bottom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6060" w:type="dxa"/>
            <w:vAlign w:val="bottom"/>
            <w:gridSpan w:val="6"/>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527</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488</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6060" w:type="dxa"/>
            <w:vAlign w:val="bottom"/>
            <w:gridSpan w:val="6"/>
            <w:vMerge w:val="restart"/>
          </w:tcPr>
          <w:p>
            <w:pPr>
              <w:ind w:left="180"/>
              <w:spacing w:after="0"/>
              <w:rPr>
                <w:sz w:val="20"/>
                <w:szCs w:val="20"/>
                <w:color w:val="auto"/>
              </w:rPr>
            </w:pPr>
            <w:r>
              <w:rPr>
                <w:rFonts w:ascii="Arial" w:cs="Arial" w:eastAsia="Arial" w:hAnsi="Arial"/>
                <w:sz w:val="17"/>
                <w:szCs w:val="17"/>
                <w:color w:val="auto"/>
              </w:rPr>
              <w:t>By-product basis</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6060" w:type="dxa"/>
            <w:vAlign w:val="bottom"/>
            <w:gridSpan w:val="6"/>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1140" w:type="dxa"/>
            <w:vAlign w:val="bottom"/>
          </w:tcPr>
          <w:p>
            <w:pPr>
              <w:spacing w:after="0"/>
              <w:rPr>
                <w:sz w:val="16"/>
                <w:szCs w:val="16"/>
                <w:color w:val="auto"/>
              </w:rPr>
            </w:pPr>
          </w:p>
        </w:tc>
        <w:tc>
          <w:tcPr>
            <w:tcW w:w="6060" w:type="dxa"/>
            <w:vAlign w:val="bottom"/>
            <w:gridSpan w:val="6"/>
            <w:vMerge w:val="continue"/>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460</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444</w:t>
            </w:r>
          </w:p>
        </w:tc>
        <w:tc>
          <w:tcPr>
            <w:tcW w:w="1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6460" w:type="dxa"/>
            <w:vAlign w:val="bottom"/>
            <w:gridSpan w:val="5"/>
            <w:vMerge w:val="restart"/>
          </w:tcPr>
          <w:p>
            <w:pPr>
              <w:jc w:val="right"/>
              <w:ind w:right="660"/>
              <w:spacing w:after="0"/>
              <w:rPr>
                <w:sz w:val="20"/>
                <w:szCs w:val="20"/>
                <w:color w:val="auto"/>
              </w:rPr>
            </w:pPr>
            <w:r>
              <w:rPr>
                <w:rFonts w:ascii="Arial" w:cs="Arial" w:eastAsia="Arial" w:hAnsi="Arial"/>
                <w:sz w:val="17"/>
                <w:szCs w:val="17"/>
                <w:color w:val="auto"/>
              </w:rPr>
              <w:t>17</w:t>
            </w:r>
          </w:p>
        </w:tc>
        <w:tc>
          <w:tcPr>
            <w:tcW w:w="1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6460" w:type="dxa"/>
            <w:vAlign w:val="bottom"/>
            <w:gridSpan w:val="5"/>
            <w:vMerge w:val="continu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6"/>
        </w:trPr>
        <w:tc>
          <w:tcPr>
            <w:tcW w:w="6460" w:type="dxa"/>
            <w:vAlign w:val="bottom"/>
            <w:gridSpan w:val="5"/>
            <w:vMerge w:val="continue"/>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220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20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58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1" w:name="page22"/>
    <w:bookmarkEnd w:id="21"/>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Months Ended March 31, 2016</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Creston Mascota deposit at Pinos Altos — Minesite Costs per Tonne</w:t>
      </w:r>
      <w:r>
        <w:rPr>
          <w:rFonts w:ascii="Arial" w:cs="Arial" w:eastAsia="Arial" w:hAnsi="Arial"/>
          <w:sz w:val="28"/>
          <w:szCs w:val="28"/>
          <w:b w:val="1"/>
          <w:bCs w:val="1"/>
          <w:u w:val="single" w:color="auto"/>
          <w:color w:val="auto"/>
          <w:vertAlign w:val="superscript"/>
        </w:rPr>
        <w:t>(iii)</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3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4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13"/>
                <w:szCs w:val="13"/>
                <w:color w:val="auto"/>
              </w:rPr>
            </w:pPr>
          </w:p>
        </w:tc>
        <w:tc>
          <w:tcPr>
            <w:tcW w:w="142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1"/>
              </w:rPr>
              <w:t>Three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240" w:type="dxa"/>
            <w:vAlign w:val="bottom"/>
            <w:tcBorders>
              <w:bottom w:val="single" w:sz="8" w:color="auto"/>
            </w:tcBorders>
            <w:gridSpan w:val="4"/>
          </w:tcPr>
          <w:p>
            <w:pPr>
              <w:ind w:left="20"/>
              <w:spacing w:after="0"/>
              <w:rPr>
                <w:sz w:val="20"/>
                <w:szCs w:val="20"/>
                <w:color w:val="auto"/>
              </w:rPr>
            </w:pPr>
            <w:r>
              <w:rPr>
                <w:rFonts w:ascii="Arial" w:cs="Arial" w:eastAsia="Arial" w:hAnsi="Arial"/>
                <w:sz w:val="13"/>
                <w:szCs w:val="13"/>
                <w:b w:val="1"/>
                <w:bCs w:val="1"/>
                <w:color w:val="auto"/>
                <w:w w:val="97"/>
              </w:rPr>
              <w:t>(thousands of United States dollars, except as noted)</w:t>
            </w:r>
          </w:p>
        </w:tc>
        <w:tc>
          <w:tcPr>
            <w:tcW w:w="2820" w:type="dxa"/>
            <w:vAlign w:val="bottom"/>
            <w:gridSpan w:val="3"/>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5"/>
              </w:rPr>
              <w:t>March 31,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ind w:right="20"/>
              <w:spacing w:after="0"/>
              <w:rPr>
                <w:sz w:val="20"/>
                <w:szCs w:val="20"/>
                <w:color w:val="auto"/>
              </w:rPr>
            </w:pPr>
            <w:r>
              <w:rPr>
                <w:rFonts w:ascii="Arial" w:cs="Arial" w:eastAsia="Arial" w:hAnsi="Arial"/>
                <w:sz w:val="13"/>
                <w:szCs w:val="13"/>
                <w:b w:val="1"/>
                <w:bCs w:val="1"/>
                <w:color w:val="auto"/>
                <w:w w:val="92"/>
              </w:rPr>
              <w:t>March 31, 2015</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6060" w:type="dxa"/>
            <w:vAlign w:val="bottom"/>
            <w:gridSpan w:val="7"/>
            <w:shd w:val="clear" w:color="auto" w:fill="CCEEFF"/>
          </w:tcPr>
          <w:p>
            <w:pPr>
              <w:ind w:left="20"/>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5,781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5,606</w:t>
            </w: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6060" w:type="dxa"/>
            <w:vAlign w:val="bottom"/>
            <w:gridSpan w:val="7"/>
          </w:tcPr>
          <w:p>
            <w:pPr>
              <w:ind w:left="20"/>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w:t>
            </w:r>
          </w:p>
        </w:tc>
        <w:tc>
          <w:tcPr>
            <w:tcW w:w="100" w:type="dxa"/>
            <w:vAlign w:val="bottom"/>
          </w:tcPr>
          <w:p>
            <w:pPr>
              <w:spacing w:after="0"/>
              <w:rPr>
                <w:sz w:val="23"/>
                <w:szCs w:val="23"/>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195</w:t>
            </w:r>
          </w:p>
        </w:tc>
        <w:tc>
          <w:tcPr>
            <w:tcW w:w="100" w:type="dxa"/>
            <w:vAlign w:val="bottom"/>
          </w:tcPr>
          <w:p>
            <w:pPr>
              <w:spacing w:after="0"/>
              <w:rPr>
                <w:sz w:val="23"/>
                <w:szCs w:val="23"/>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399</w:t>
            </w: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140" w:type="dxa"/>
            <w:vAlign w:val="bottom"/>
          </w:tcPr>
          <w:p>
            <w:pPr>
              <w:spacing w:after="0"/>
              <w:rPr>
                <w:sz w:val="17"/>
                <w:szCs w:val="17"/>
                <w:color w:val="auto"/>
              </w:rPr>
            </w:pPr>
          </w:p>
        </w:tc>
        <w:tc>
          <w:tcPr>
            <w:tcW w:w="6060" w:type="dxa"/>
            <w:vAlign w:val="bottom"/>
            <w:gridSpan w:val="7"/>
            <w:shd w:val="clear" w:color="auto" w:fill="CCEEFF"/>
          </w:tcPr>
          <w:p>
            <w:pPr>
              <w:ind w:left="20"/>
              <w:spacing w:after="0"/>
              <w:rPr>
                <w:sz w:val="20"/>
                <w:szCs w:val="20"/>
                <w:color w:val="auto"/>
              </w:rPr>
            </w:pPr>
            <w:r>
              <w:rPr>
                <w:rFonts w:ascii="Arial" w:cs="Arial" w:eastAsia="Arial" w:hAnsi="Arial"/>
                <w:sz w:val="17"/>
                <w:szCs w:val="17"/>
                <w:color w:val="auto"/>
              </w:rPr>
              <w:t>Minesite operating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5,976</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6,005</w:t>
            </w: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6060" w:type="dxa"/>
            <w:vAlign w:val="bottom"/>
            <w:gridSpan w:val="7"/>
          </w:tcPr>
          <w:p>
            <w:pPr>
              <w:ind w:left="20"/>
              <w:spacing w:after="0"/>
              <w:rPr>
                <w:sz w:val="20"/>
                <w:szCs w:val="20"/>
                <w:color w:val="auto"/>
              </w:rPr>
            </w:pPr>
            <w:r>
              <w:rPr>
                <w:rFonts w:ascii="Arial" w:cs="Arial" w:eastAsia="Arial" w:hAnsi="Arial"/>
                <w:sz w:val="17"/>
                <w:szCs w:val="17"/>
                <w:color w:val="auto"/>
              </w:rPr>
              <w:t>Tonnes of ore processed (thousands of tonnes)</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516</w:t>
            </w:r>
          </w:p>
        </w:tc>
        <w:tc>
          <w:tcPr>
            <w:tcW w:w="100" w:type="dxa"/>
            <w:vAlign w:val="bottom"/>
          </w:tcPr>
          <w:p>
            <w:pPr>
              <w:spacing w:after="0"/>
              <w:rPr>
                <w:sz w:val="18"/>
                <w:szCs w:val="18"/>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527</w:t>
            </w: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100" w:type="dxa"/>
            <w:vAlign w:val="bottom"/>
            <w:gridSpan w:val="3"/>
          </w:tcPr>
          <w:p>
            <w:pPr>
              <w:spacing w:after="0" w:line="20" w:lineRule="exact"/>
              <w:rPr>
                <w:sz w:val="1"/>
                <w:szCs w:val="1"/>
                <w:color w:val="auto"/>
              </w:rPr>
            </w:pPr>
          </w:p>
        </w:tc>
        <w:tc>
          <w:tcPr>
            <w:tcW w:w="2820" w:type="dxa"/>
            <w:vAlign w:val="bottom"/>
            <w:gridSpan w:val="3"/>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2"/>
        </w:trPr>
        <w:tc>
          <w:tcPr>
            <w:tcW w:w="1140" w:type="dxa"/>
            <w:vAlign w:val="bottom"/>
          </w:tcPr>
          <w:p>
            <w:pPr>
              <w:spacing w:after="0"/>
              <w:rPr>
                <w:sz w:val="21"/>
                <w:szCs w:val="21"/>
                <w:color w:val="auto"/>
              </w:rPr>
            </w:pPr>
          </w:p>
        </w:tc>
        <w:tc>
          <w:tcPr>
            <w:tcW w:w="6060" w:type="dxa"/>
            <w:vAlign w:val="bottom"/>
            <w:gridSpan w:val="7"/>
            <w:shd w:val="clear" w:color="auto" w:fill="CCEEFF"/>
          </w:tcPr>
          <w:p>
            <w:pPr>
              <w:ind w:left="20"/>
              <w:spacing w:after="0" w:line="242" w:lineRule="exact"/>
              <w:rPr>
                <w:sz w:val="20"/>
                <w:szCs w:val="20"/>
                <w:color w:val="auto"/>
              </w:rPr>
            </w:pPr>
            <w:r>
              <w:rPr>
                <w:rFonts w:ascii="Arial" w:cs="Arial" w:eastAsia="Arial" w:hAnsi="Arial"/>
                <w:sz w:val="17"/>
                <w:szCs w:val="17"/>
                <w:color w:val="auto"/>
              </w:rPr>
              <w:t>Minesite costs per tonne (US$)</w:t>
            </w:r>
            <w:r>
              <w:rPr>
                <w:rFonts w:ascii="Arial" w:cs="Arial" w:eastAsia="Arial" w:hAnsi="Arial"/>
                <w:sz w:val="28"/>
                <w:szCs w:val="28"/>
                <w:color w:val="auto"/>
                <w:vertAlign w:val="superscript"/>
              </w:rPr>
              <w:t>(iii)</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12</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11</w:t>
            </w:r>
          </w:p>
        </w:tc>
        <w:tc>
          <w:tcPr>
            <w:tcW w:w="0" w:type="dxa"/>
            <w:vAlign w:val="bottom"/>
          </w:tcPr>
          <w:p>
            <w:pPr>
              <w:spacing w:after="0"/>
              <w:rPr>
                <w:sz w:val="1"/>
                <w:szCs w:val="1"/>
                <w:color w:val="auto"/>
              </w:rPr>
            </w:pPr>
          </w:p>
        </w:tc>
      </w:tr>
      <w:tr>
        <w:trPr>
          <w:trHeight w:val="26"/>
        </w:trPr>
        <w:tc>
          <w:tcPr>
            <w:tcW w:w="4660" w:type="dxa"/>
            <w:vAlign w:val="bottom"/>
            <w:gridSpan w:val="6"/>
            <w:vMerge w:val="restart"/>
          </w:tcPr>
          <w:p>
            <w:pPr>
              <w:spacing w:after="0"/>
              <w:rPr>
                <w:sz w:val="20"/>
                <w:szCs w:val="20"/>
                <w:color w:val="auto"/>
              </w:rPr>
            </w:pPr>
            <w:r>
              <w:rPr>
                <w:rFonts w:ascii="Arial" w:cs="Arial" w:eastAsia="Arial" w:hAnsi="Arial"/>
                <w:sz w:val="17"/>
                <w:szCs w:val="17"/>
                <w:b w:val="1"/>
                <w:bCs w:val="1"/>
                <w:color w:val="auto"/>
                <w:w w:val="91"/>
              </w:rPr>
              <w:t>La India Mine — Total Cash Costs per Ounce of Gold Produced</w:t>
            </w:r>
          </w:p>
        </w:tc>
        <w:tc>
          <w:tcPr>
            <w:tcW w:w="180" w:type="dxa"/>
            <w:vAlign w:val="bottom"/>
            <w:vMerge w:val="restart"/>
          </w:tcPr>
          <w:p>
            <w:pPr>
              <w:spacing w:after="0"/>
              <w:rPr>
                <w:sz w:val="20"/>
                <w:szCs w:val="20"/>
                <w:color w:val="auto"/>
              </w:rPr>
            </w:pPr>
            <w:r>
              <w:rPr>
                <w:rFonts w:ascii="Arial" w:cs="Arial" w:eastAsia="Arial" w:hAnsi="Arial"/>
                <w:sz w:val="14"/>
                <w:szCs w:val="14"/>
                <w:b w:val="1"/>
                <w:bCs w:val="1"/>
                <w:color w:val="auto"/>
                <w:w w:val="93"/>
              </w:rPr>
              <w:t>(ii)</w:t>
            </w:r>
          </w:p>
        </w:tc>
        <w:tc>
          <w:tcPr>
            <w:tcW w:w="23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660" w:type="dxa"/>
            <w:vAlign w:val="bottom"/>
            <w:gridSpan w:val="6"/>
            <w:vMerge w:val="continue"/>
          </w:tcPr>
          <w:p>
            <w:pPr>
              <w:spacing w:after="0" w:line="20" w:lineRule="exact"/>
              <w:rPr>
                <w:sz w:val="1"/>
                <w:szCs w:val="1"/>
                <w:color w:val="auto"/>
              </w:rPr>
            </w:pPr>
          </w:p>
        </w:tc>
        <w:tc>
          <w:tcPr>
            <w:tcW w:w="180" w:type="dxa"/>
            <w:vAlign w:val="bottom"/>
            <w:vMerge w:val="continue"/>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4660" w:type="dxa"/>
            <w:vAlign w:val="bottom"/>
            <w:gridSpan w:val="6"/>
            <w:vMerge w:val="continue"/>
          </w:tcPr>
          <w:p>
            <w:pPr>
              <w:spacing w:after="0"/>
              <w:rPr>
                <w:sz w:val="24"/>
                <w:szCs w:val="24"/>
                <w:color w:val="auto"/>
              </w:rPr>
            </w:pPr>
          </w:p>
        </w:tc>
        <w:tc>
          <w:tcPr>
            <w:tcW w:w="180" w:type="dxa"/>
            <w:vAlign w:val="bottom"/>
            <w:tcBorders>
              <w:bottom w:val="single" w:sz="8" w:color="auto"/>
            </w:tcBorders>
            <w:vMerge w:val="continue"/>
          </w:tcPr>
          <w:p>
            <w:pPr>
              <w:spacing w:after="0"/>
              <w:rPr>
                <w:sz w:val="24"/>
                <w:szCs w:val="24"/>
                <w:color w:val="auto"/>
              </w:rPr>
            </w:pPr>
          </w:p>
        </w:tc>
        <w:tc>
          <w:tcPr>
            <w:tcW w:w="2360" w:type="dxa"/>
            <w:vAlign w:val="bottom"/>
            <w:vMerge w:val="restart"/>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4660" w:type="dxa"/>
            <w:vAlign w:val="bottom"/>
            <w:tcBorders>
              <w:bottom w:val="single" w:sz="8" w:color="auto"/>
            </w:tcBorders>
            <w:gridSpan w:val="6"/>
            <w:vMerge w:val="continue"/>
          </w:tcPr>
          <w:p>
            <w:pPr>
              <w:spacing w:after="0"/>
              <w:rPr>
                <w:sz w:val="3"/>
                <w:szCs w:val="3"/>
                <w:color w:val="auto"/>
              </w:rPr>
            </w:pPr>
          </w:p>
        </w:tc>
        <w:tc>
          <w:tcPr>
            <w:tcW w:w="180" w:type="dxa"/>
            <w:vAlign w:val="bottom"/>
          </w:tcPr>
          <w:p>
            <w:pPr>
              <w:spacing w:after="0"/>
              <w:rPr>
                <w:sz w:val="3"/>
                <w:szCs w:val="3"/>
                <w:color w:val="auto"/>
              </w:rPr>
            </w:pPr>
          </w:p>
        </w:tc>
        <w:tc>
          <w:tcPr>
            <w:tcW w:w="2360" w:type="dxa"/>
            <w:vAlign w:val="bottom"/>
            <w:vMerge w:val="continue"/>
          </w:tcPr>
          <w:p>
            <w:pPr>
              <w:spacing w:after="0"/>
              <w:rPr>
                <w:sz w:val="3"/>
                <w:szCs w:val="3"/>
                <w:color w:val="auto"/>
              </w:rPr>
            </w:pPr>
          </w:p>
        </w:tc>
        <w:tc>
          <w:tcPr>
            <w:tcW w:w="100" w:type="dxa"/>
            <w:vAlign w:val="bottom"/>
          </w:tcPr>
          <w:p>
            <w:pPr>
              <w:spacing w:after="0"/>
              <w:rPr>
                <w:sz w:val="3"/>
                <w:szCs w:val="3"/>
                <w:color w:val="auto"/>
              </w:rPr>
            </w:pPr>
          </w:p>
        </w:tc>
        <w:tc>
          <w:tcPr>
            <w:tcW w:w="144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3"/>
                <w:szCs w:val="3"/>
                <w:color w:val="auto"/>
              </w:rPr>
            </w:pPr>
          </w:p>
        </w:tc>
        <w:tc>
          <w:tcPr>
            <w:tcW w:w="142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1"/>
              </w:rPr>
              <w:t>Three Months Ended</w:t>
            </w:r>
          </w:p>
        </w:tc>
        <w:tc>
          <w:tcPr>
            <w:tcW w:w="0" w:type="dxa"/>
            <w:vAlign w:val="bottom"/>
          </w:tcPr>
          <w:p>
            <w:pPr>
              <w:spacing w:after="0"/>
              <w:rPr>
                <w:sz w:val="1"/>
                <w:szCs w:val="1"/>
                <w:color w:val="auto"/>
              </w:rPr>
            </w:pPr>
          </w:p>
        </w:tc>
      </w:tr>
      <w:tr>
        <w:trPr>
          <w:trHeight w:val="360"/>
        </w:trPr>
        <w:tc>
          <w:tcPr>
            <w:tcW w:w="11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40" w:type="dxa"/>
            <w:vAlign w:val="bottom"/>
            <w:gridSpan w:val="2"/>
            <w:vMerge w:val="continue"/>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2"/>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240" w:type="dxa"/>
            <w:vAlign w:val="bottom"/>
            <w:tcBorders>
              <w:bottom w:val="single" w:sz="8" w:color="auto"/>
            </w:tcBorders>
            <w:gridSpan w:val="4"/>
          </w:tcPr>
          <w:p>
            <w:pPr>
              <w:ind w:left="20"/>
              <w:spacing w:after="0"/>
              <w:rPr>
                <w:sz w:val="20"/>
                <w:szCs w:val="20"/>
                <w:color w:val="auto"/>
              </w:rPr>
            </w:pPr>
            <w:r>
              <w:rPr>
                <w:rFonts w:ascii="Arial" w:cs="Arial" w:eastAsia="Arial" w:hAnsi="Arial"/>
                <w:sz w:val="13"/>
                <w:szCs w:val="13"/>
                <w:b w:val="1"/>
                <w:bCs w:val="1"/>
                <w:color w:val="auto"/>
                <w:w w:val="97"/>
              </w:rPr>
              <w:t>(thousands of United States dollars, except as noted)</w:t>
            </w:r>
          </w:p>
        </w:tc>
        <w:tc>
          <w:tcPr>
            <w:tcW w:w="2820" w:type="dxa"/>
            <w:vAlign w:val="bottom"/>
            <w:gridSpan w:val="3"/>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5"/>
              </w:rPr>
              <w:t>March 31,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ind w:right="20"/>
              <w:spacing w:after="0"/>
              <w:rPr>
                <w:sz w:val="20"/>
                <w:szCs w:val="20"/>
                <w:color w:val="auto"/>
              </w:rPr>
            </w:pPr>
            <w:r>
              <w:rPr>
                <w:rFonts w:ascii="Arial" w:cs="Arial" w:eastAsia="Arial" w:hAnsi="Arial"/>
                <w:sz w:val="13"/>
                <w:szCs w:val="13"/>
                <w:b w:val="1"/>
                <w:bCs w:val="1"/>
                <w:color w:val="auto"/>
                <w:w w:val="92"/>
              </w:rPr>
              <w:t>March 31, 2015</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6060" w:type="dxa"/>
            <w:vAlign w:val="bottom"/>
            <w:gridSpan w:val="7"/>
            <w:shd w:val="clear" w:color="auto" w:fill="CCEEFF"/>
          </w:tcPr>
          <w:p>
            <w:pPr>
              <w:ind w:left="20"/>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10,915</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12,465</w:t>
            </w: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6060" w:type="dxa"/>
            <w:vAlign w:val="bottom"/>
            <w:gridSpan w:val="7"/>
          </w:tcPr>
          <w:p>
            <w:pPr>
              <w:ind w:left="20"/>
              <w:spacing w:after="0"/>
              <w:rPr>
                <w:sz w:val="20"/>
                <w:szCs w:val="20"/>
                <w:color w:val="auto"/>
              </w:rPr>
            </w:pPr>
            <w:r>
              <w:rPr>
                <w:rFonts w:ascii="Arial" w:cs="Arial" w:eastAsia="Arial" w:hAnsi="Arial"/>
                <w:sz w:val="17"/>
                <w:szCs w:val="17"/>
                <w:color w:val="auto"/>
              </w:rPr>
              <w:t>Adjustments:</w:t>
            </w: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6060" w:type="dxa"/>
            <w:vAlign w:val="bottom"/>
            <w:gridSpan w:val="7"/>
            <w:shd w:val="clear" w:color="auto" w:fill="CCEEFF"/>
          </w:tcPr>
          <w:p>
            <w:pPr>
              <w:ind w:left="360"/>
              <w:spacing w:after="0" w:line="249"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(iv)</w:t>
            </w: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1,054</w:t>
            </w:r>
          </w:p>
        </w:tc>
        <w:tc>
          <w:tcPr>
            <w:tcW w:w="100" w:type="dxa"/>
            <w:vAlign w:val="bottom"/>
            <w:shd w:val="clear" w:color="auto" w:fill="CCEEFF"/>
          </w:tcPr>
          <w:p>
            <w:pPr>
              <w:spacing w:after="0"/>
              <w:rPr>
                <w:sz w:val="21"/>
                <w:szCs w:val="21"/>
                <w:color w:val="auto"/>
              </w:rPr>
            </w:pPr>
          </w:p>
        </w:tc>
        <w:tc>
          <w:tcPr>
            <w:tcW w:w="14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(245)</w:t>
            </w: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6060" w:type="dxa"/>
            <w:vAlign w:val="bottom"/>
            <w:gridSpan w:val="7"/>
            <w:vMerge w:val="restart"/>
          </w:tcPr>
          <w:p>
            <w:pPr>
              <w:ind w:left="20"/>
              <w:spacing w:after="0"/>
              <w:rPr>
                <w:sz w:val="20"/>
                <w:szCs w:val="20"/>
                <w:color w:val="auto"/>
              </w:rPr>
            </w:pPr>
            <w:r>
              <w:rPr>
                <w:rFonts w:ascii="Arial" w:cs="Arial" w:eastAsia="Arial" w:hAnsi="Arial"/>
                <w:sz w:val="17"/>
                <w:szCs w:val="17"/>
                <w:color w:val="auto"/>
              </w:rPr>
              <w:t>Cash operating costs (co-product basis)</w:t>
            </w: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4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6060" w:type="dxa"/>
            <w:vAlign w:val="bottom"/>
            <w:gridSpan w:val="7"/>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11,969</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12,220</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6060" w:type="dxa"/>
            <w:vAlign w:val="bottom"/>
            <w:gridSpan w:val="7"/>
            <w:shd w:val="clear" w:color="auto" w:fill="CCEEFF"/>
          </w:tcPr>
          <w:p>
            <w:pPr>
              <w:ind w:left="360"/>
              <w:spacing w:after="0"/>
              <w:rPr>
                <w:sz w:val="20"/>
                <w:szCs w:val="20"/>
                <w:color w:val="auto"/>
              </w:rPr>
            </w:pPr>
            <w:r>
              <w:rPr>
                <w:rFonts w:ascii="Arial" w:cs="Arial" w:eastAsia="Arial" w:hAnsi="Arial"/>
                <w:sz w:val="17"/>
                <w:szCs w:val="17"/>
                <w:color w:val="auto"/>
              </w:rPr>
              <w:t>By-product metal revenues</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(1,796)</w:t>
            </w: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(1,132)</w:t>
            </w: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6060" w:type="dxa"/>
            <w:vAlign w:val="bottom"/>
            <w:gridSpan w:val="7"/>
            <w:vMerge w:val="restart"/>
          </w:tcPr>
          <w:p>
            <w:pPr>
              <w:ind w:left="20"/>
              <w:spacing w:after="0"/>
              <w:rPr>
                <w:sz w:val="20"/>
                <w:szCs w:val="20"/>
                <w:color w:val="auto"/>
              </w:rPr>
            </w:pPr>
            <w:r>
              <w:rPr>
                <w:rFonts w:ascii="Arial" w:cs="Arial" w:eastAsia="Arial" w:hAnsi="Arial"/>
                <w:sz w:val="17"/>
                <w:szCs w:val="17"/>
                <w:color w:val="auto"/>
              </w:rPr>
              <w:t>Cash operating costs (by-product basis)</w:t>
            </w: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4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6060" w:type="dxa"/>
            <w:vAlign w:val="bottom"/>
            <w:gridSpan w:val="7"/>
            <w:vMerge w:val="continue"/>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10,173</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11,088</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6060" w:type="dxa"/>
            <w:vAlign w:val="bottom"/>
            <w:gridSpan w:val="7"/>
            <w:shd w:val="clear" w:color="auto" w:fill="CCEEFF"/>
          </w:tcPr>
          <w:p>
            <w:pPr>
              <w:ind w:left="20"/>
              <w:spacing w:after="0"/>
              <w:rPr>
                <w:sz w:val="20"/>
                <w:szCs w:val="20"/>
                <w:color w:val="auto"/>
              </w:rPr>
            </w:pPr>
            <w:r>
              <w:rPr>
                <w:rFonts w:ascii="Arial" w:cs="Arial" w:eastAsia="Arial" w:hAnsi="Arial"/>
                <w:sz w:val="17"/>
                <w:szCs w:val="17"/>
                <w:color w:val="auto"/>
              </w:rPr>
              <w:t>Gold production (ounces)</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28,231</w:t>
            </w: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26,523</w:t>
            </w: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6060" w:type="dxa"/>
            <w:vAlign w:val="bottom"/>
            <w:gridSpan w:val="7"/>
          </w:tcPr>
          <w:p>
            <w:pPr>
              <w:ind w:left="20"/>
              <w:spacing w:after="0" w:line="276" w:lineRule="exact"/>
              <w:rPr>
                <w:sz w:val="20"/>
                <w:szCs w:val="20"/>
                <w:color w:val="auto"/>
              </w:rPr>
            </w:pPr>
            <w:r>
              <w:rPr>
                <w:rFonts w:ascii="Arial" w:cs="Arial" w:eastAsia="Arial" w:hAnsi="Arial"/>
                <w:sz w:val="17"/>
                <w:szCs w:val="17"/>
                <w:color w:val="auto"/>
              </w:rPr>
              <w:t>Total cash costs per ounce of gold produced ($ per ounce)</w:t>
            </w:r>
            <w:r>
              <w:rPr>
                <w:rFonts w:ascii="Arial" w:cs="Arial" w:eastAsia="Arial" w:hAnsi="Arial"/>
                <w:sz w:val="28"/>
                <w:szCs w:val="28"/>
                <w:color w:val="auto"/>
                <w:vertAlign w:val="superscript"/>
              </w:rPr>
              <w:t>(ii)</w:t>
            </w:r>
            <w:r>
              <w:rPr>
                <w:rFonts w:ascii="Arial" w:cs="Arial" w:eastAsia="Arial" w:hAnsi="Arial"/>
                <w:sz w:val="17"/>
                <w:szCs w:val="17"/>
                <w:color w:val="auto"/>
              </w:rPr>
              <w:t>:</w:t>
            </w:r>
          </w:p>
        </w:tc>
        <w:tc>
          <w:tcPr>
            <w:tcW w:w="100" w:type="dxa"/>
            <w:vAlign w:val="bottom"/>
            <w:tcBorders>
              <w:bottom w:val="single" w:sz="8" w:color="auto"/>
            </w:tcBorders>
          </w:tcPr>
          <w:p>
            <w:pPr>
              <w:spacing w:after="0"/>
              <w:rPr>
                <w:sz w:val="23"/>
                <w:szCs w:val="23"/>
                <w:color w:val="auto"/>
              </w:rPr>
            </w:pPr>
          </w:p>
        </w:tc>
        <w:tc>
          <w:tcPr>
            <w:tcW w:w="1280" w:type="dxa"/>
            <w:vAlign w:val="bottom"/>
            <w:tcBorders>
              <w:bottom w:val="single" w:sz="8" w:color="auto"/>
            </w:tcBorders>
          </w:tcPr>
          <w:p>
            <w:pPr>
              <w:spacing w:after="0"/>
              <w:rPr>
                <w:sz w:val="23"/>
                <w:szCs w:val="23"/>
                <w:color w:val="auto"/>
              </w:rPr>
            </w:pPr>
          </w:p>
        </w:tc>
        <w:tc>
          <w:tcPr>
            <w:tcW w:w="160" w:type="dxa"/>
            <w:vAlign w:val="bottom"/>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280" w:type="dxa"/>
            <w:vAlign w:val="bottom"/>
            <w:tcBorders>
              <w:bottom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6060" w:type="dxa"/>
            <w:vAlign w:val="bottom"/>
            <w:gridSpan w:val="7"/>
            <w:shd w:val="clear" w:color="auto" w:fill="CCEEFF"/>
          </w:tcPr>
          <w:p>
            <w:pPr>
              <w:ind w:left="180"/>
              <w:spacing w:after="0"/>
              <w:rPr>
                <w:sz w:val="20"/>
                <w:szCs w:val="20"/>
                <w:color w:val="auto"/>
              </w:rPr>
            </w:pPr>
            <w:r>
              <w:rPr>
                <w:rFonts w:ascii="Arial" w:cs="Arial" w:eastAsia="Arial" w:hAnsi="Arial"/>
                <w:sz w:val="17"/>
                <w:szCs w:val="17"/>
                <w:color w:val="auto"/>
              </w:rPr>
              <w:t>Co-product basis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424</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461</w:t>
            </w: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6060" w:type="dxa"/>
            <w:vAlign w:val="bottom"/>
            <w:gridSpan w:val="7"/>
            <w:vMerge w:val="restart"/>
          </w:tcPr>
          <w:p>
            <w:pPr>
              <w:ind w:left="180"/>
              <w:spacing w:after="0"/>
              <w:rPr>
                <w:sz w:val="20"/>
                <w:szCs w:val="20"/>
                <w:color w:val="auto"/>
              </w:rPr>
            </w:pPr>
            <w:r>
              <w:rPr>
                <w:rFonts w:ascii="Arial" w:cs="Arial" w:eastAsia="Arial" w:hAnsi="Arial"/>
                <w:sz w:val="17"/>
                <w:szCs w:val="17"/>
                <w:color w:val="auto"/>
              </w:rPr>
              <w:t>By-product basis</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6060" w:type="dxa"/>
            <w:vAlign w:val="bottom"/>
            <w:gridSpan w:val="7"/>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1140" w:type="dxa"/>
            <w:vAlign w:val="bottom"/>
          </w:tcPr>
          <w:p>
            <w:pPr>
              <w:spacing w:after="0"/>
              <w:rPr>
                <w:sz w:val="16"/>
                <w:szCs w:val="16"/>
                <w:color w:val="auto"/>
              </w:rPr>
            </w:pPr>
          </w:p>
        </w:tc>
        <w:tc>
          <w:tcPr>
            <w:tcW w:w="6060" w:type="dxa"/>
            <w:vAlign w:val="bottom"/>
            <w:gridSpan w:val="7"/>
            <w:vMerge w:val="continue"/>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360</w:t>
            </w:r>
          </w:p>
        </w:tc>
        <w:tc>
          <w:tcPr>
            <w:tcW w:w="16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418</w:t>
            </w: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160" w:type="dxa"/>
            <w:vAlign w:val="bottom"/>
            <w:gridSpan w:val="3"/>
            <w:vMerge w:val="restart"/>
          </w:tcPr>
          <w:p>
            <w:pPr>
              <w:spacing w:after="0"/>
              <w:rPr>
                <w:sz w:val="20"/>
                <w:szCs w:val="20"/>
                <w:color w:val="auto"/>
              </w:rPr>
            </w:pPr>
            <w:r>
              <w:rPr>
                <w:rFonts w:ascii="Arial" w:cs="Arial" w:eastAsia="Arial" w:hAnsi="Arial"/>
                <w:sz w:val="17"/>
                <w:szCs w:val="17"/>
                <w:b w:val="1"/>
                <w:bCs w:val="1"/>
                <w:color w:val="auto"/>
                <w:w w:val="92"/>
              </w:rPr>
              <w:t>La India Mine — Minesite Costs per Tonne</w:t>
            </w:r>
          </w:p>
        </w:tc>
        <w:tc>
          <w:tcPr>
            <w:tcW w:w="200" w:type="dxa"/>
            <w:vAlign w:val="bottom"/>
            <w:vMerge w:val="restart"/>
          </w:tcPr>
          <w:p>
            <w:pPr>
              <w:spacing w:after="0"/>
              <w:rPr>
                <w:sz w:val="20"/>
                <w:szCs w:val="20"/>
                <w:color w:val="auto"/>
              </w:rPr>
            </w:pPr>
            <w:r>
              <w:rPr>
                <w:rFonts w:ascii="Arial" w:cs="Arial" w:eastAsia="Arial" w:hAnsi="Arial"/>
                <w:sz w:val="14"/>
                <w:szCs w:val="14"/>
                <w:b w:val="1"/>
                <w:bCs w:val="1"/>
                <w:color w:val="auto"/>
                <w:w w:val="85"/>
              </w:rPr>
              <w:t>(iii)</w:t>
            </w:r>
          </w:p>
        </w:tc>
        <w:tc>
          <w:tcPr>
            <w:tcW w:w="1020" w:type="dxa"/>
            <w:vAlign w:val="bottom"/>
          </w:tcPr>
          <w:p>
            <w:pPr>
              <w:spacing w:after="0" w:line="20" w:lineRule="exact"/>
              <w:rPr>
                <w:sz w:val="1"/>
                <w:szCs w:val="1"/>
                <w:color w:val="auto"/>
              </w:rPr>
            </w:pPr>
          </w:p>
        </w:tc>
        <w:tc>
          <w:tcPr>
            <w:tcW w:w="2820" w:type="dxa"/>
            <w:vAlign w:val="bottom"/>
            <w:gridSpan w:val="3"/>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3160" w:type="dxa"/>
            <w:vAlign w:val="bottom"/>
            <w:gridSpan w:val="3"/>
            <w:vMerge w:val="continue"/>
          </w:tcPr>
          <w:p>
            <w:pPr>
              <w:spacing w:after="0" w:line="20" w:lineRule="exact"/>
              <w:rPr>
                <w:sz w:val="1"/>
                <w:szCs w:val="1"/>
                <w:color w:val="auto"/>
              </w:rPr>
            </w:pPr>
          </w:p>
        </w:tc>
        <w:tc>
          <w:tcPr>
            <w:tcW w:w="200" w:type="dxa"/>
            <w:vAlign w:val="bottom"/>
            <w:vMerge w:val="continue"/>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2820" w:type="dxa"/>
            <w:vAlign w:val="bottom"/>
            <w:gridSpan w:val="3"/>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3160" w:type="dxa"/>
            <w:vAlign w:val="bottom"/>
            <w:gridSpan w:val="3"/>
            <w:vMerge w:val="continue"/>
          </w:tcPr>
          <w:p>
            <w:pPr>
              <w:spacing w:after="0"/>
              <w:rPr>
                <w:sz w:val="24"/>
                <w:szCs w:val="24"/>
                <w:color w:val="auto"/>
              </w:rPr>
            </w:pPr>
          </w:p>
        </w:tc>
        <w:tc>
          <w:tcPr>
            <w:tcW w:w="200" w:type="dxa"/>
            <w:vAlign w:val="bottom"/>
            <w:tcBorders>
              <w:bottom w:val="single" w:sz="8" w:color="auto"/>
            </w:tcBorders>
            <w:vMerge w:val="continue"/>
          </w:tcPr>
          <w:p>
            <w:pPr>
              <w:spacing w:after="0"/>
              <w:rPr>
                <w:sz w:val="24"/>
                <w:szCs w:val="24"/>
                <w:color w:val="auto"/>
              </w:rPr>
            </w:pPr>
          </w:p>
        </w:tc>
        <w:tc>
          <w:tcPr>
            <w:tcW w:w="1020" w:type="dxa"/>
            <w:vAlign w:val="bottom"/>
            <w:vMerge w:val="restart"/>
          </w:tcPr>
          <w:p>
            <w:pPr>
              <w:spacing w:after="0"/>
              <w:rPr>
                <w:sz w:val="24"/>
                <w:szCs w:val="24"/>
                <w:color w:val="auto"/>
              </w:rPr>
            </w:pPr>
          </w:p>
        </w:tc>
        <w:tc>
          <w:tcPr>
            <w:tcW w:w="2820" w:type="dxa"/>
            <w:vAlign w:val="bottom"/>
            <w:gridSpan w:val="3"/>
            <w:vMerge w:val="restart"/>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160" w:type="dxa"/>
            <w:vAlign w:val="bottom"/>
            <w:tcBorders>
              <w:bottom w:val="single" w:sz="8" w:color="auto"/>
            </w:tcBorders>
            <w:gridSpan w:val="3"/>
            <w:vMerge w:val="continue"/>
          </w:tcPr>
          <w:p>
            <w:pPr>
              <w:spacing w:after="0"/>
              <w:rPr>
                <w:sz w:val="3"/>
                <w:szCs w:val="3"/>
                <w:color w:val="auto"/>
              </w:rPr>
            </w:pPr>
          </w:p>
        </w:tc>
        <w:tc>
          <w:tcPr>
            <w:tcW w:w="200" w:type="dxa"/>
            <w:vAlign w:val="bottom"/>
          </w:tcPr>
          <w:p>
            <w:pPr>
              <w:spacing w:after="0"/>
              <w:rPr>
                <w:sz w:val="3"/>
                <w:szCs w:val="3"/>
                <w:color w:val="auto"/>
              </w:rPr>
            </w:pPr>
          </w:p>
        </w:tc>
        <w:tc>
          <w:tcPr>
            <w:tcW w:w="1020" w:type="dxa"/>
            <w:vAlign w:val="bottom"/>
            <w:vMerge w:val="continue"/>
          </w:tcPr>
          <w:p>
            <w:pPr>
              <w:spacing w:after="0"/>
              <w:rPr>
                <w:sz w:val="3"/>
                <w:szCs w:val="3"/>
                <w:color w:val="auto"/>
              </w:rPr>
            </w:pPr>
          </w:p>
        </w:tc>
        <w:tc>
          <w:tcPr>
            <w:tcW w:w="2820" w:type="dxa"/>
            <w:vAlign w:val="bottom"/>
            <w:gridSpan w:val="3"/>
            <w:vMerge w:val="continue"/>
          </w:tcPr>
          <w:p>
            <w:pPr>
              <w:spacing w:after="0"/>
              <w:rPr>
                <w:sz w:val="3"/>
                <w:szCs w:val="3"/>
                <w:color w:val="auto"/>
              </w:rPr>
            </w:pPr>
          </w:p>
        </w:tc>
        <w:tc>
          <w:tcPr>
            <w:tcW w:w="100" w:type="dxa"/>
            <w:vAlign w:val="bottom"/>
          </w:tcPr>
          <w:p>
            <w:pPr>
              <w:spacing w:after="0"/>
              <w:rPr>
                <w:sz w:val="3"/>
                <w:szCs w:val="3"/>
                <w:color w:val="auto"/>
              </w:rPr>
            </w:pPr>
          </w:p>
        </w:tc>
        <w:tc>
          <w:tcPr>
            <w:tcW w:w="144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3"/>
              </w:rPr>
              <w:t>Three Months Ended</w:t>
            </w:r>
          </w:p>
        </w:tc>
        <w:tc>
          <w:tcPr>
            <w:tcW w:w="100" w:type="dxa"/>
            <w:vAlign w:val="bottom"/>
          </w:tcPr>
          <w:p>
            <w:pPr>
              <w:spacing w:after="0"/>
              <w:rPr>
                <w:sz w:val="3"/>
                <w:szCs w:val="3"/>
                <w:color w:val="auto"/>
              </w:rPr>
            </w:pPr>
          </w:p>
        </w:tc>
        <w:tc>
          <w:tcPr>
            <w:tcW w:w="142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1"/>
              </w:rPr>
              <w:t>Three Months Ended</w:t>
            </w:r>
          </w:p>
        </w:tc>
        <w:tc>
          <w:tcPr>
            <w:tcW w:w="0" w:type="dxa"/>
            <w:vAlign w:val="bottom"/>
          </w:tcPr>
          <w:p>
            <w:pPr>
              <w:spacing w:after="0"/>
              <w:rPr>
                <w:sz w:val="1"/>
                <w:szCs w:val="1"/>
                <w:color w:val="auto"/>
              </w:rPr>
            </w:pPr>
          </w:p>
        </w:tc>
      </w:tr>
      <w:tr>
        <w:trPr>
          <w:trHeight w:val="360"/>
        </w:trPr>
        <w:tc>
          <w:tcPr>
            <w:tcW w:w="11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40" w:type="dxa"/>
            <w:vAlign w:val="bottom"/>
            <w:gridSpan w:val="2"/>
            <w:vMerge w:val="continue"/>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2"/>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240" w:type="dxa"/>
            <w:vAlign w:val="bottom"/>
            <w:tcBorders>
              <w:bottom w:val="single" w:sz="8" w:color="auto"/>
            </w:tcBorders>
            <w:gridSpan w:val="4"/>
          </w:tcPr>
          <w:p>
            <w:pPr>
              <w:ind w:left="20"/>
              <w:spacing w:after="0"/>
              <w:rPr>
                <w:sz w:val="20"/>
                <w:szCs w:val="20"/>
                <w:color w:val="auto"/>
              </w:rPr>
            </w:pPr>
            <w:r>
              <w:rPr>
                <w:rFonts w:ascii="Arial" w:cs="Arial" w:eastAsia="Arial" w:hAnsi="Arial"/>
                <w:sz w:val="13"/>
                <w:szCs w:val="13"/>
                <w:b w:val="1"/>
                <w:bCs w:val="1"/>
                <w:color w:val="auto"/>
                <w:w w:val="97"/>
              </w:rPr>
              <w:t>(thousands of United States dollars, except as noted)</w:t>
            </w:r>
          </w:p>
        </w:tc>
        <w:tc>
          <w:tcPr>
            <w:tcW w:w="2820" w:type="dxa"/>
            <w:vAlign w:val="bottom"/>
            <w:gridSpan w:val="3"/>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5"/>
              </w:rPr>
              <w:t>March 31,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center"/>
              <w:ind w:right="20"/>
              <w:spacing w:after="0"/>
              <w:rPr>
                <w:sz w:val="20"/>
                <w:szCs w:val="20"/>
                <w:color w:val="auto"/>
              </w:rPr>
            </w:pPr>
            <w:r>
              <w:rPr>
                <w:rFonts w:ascii="Arial" w:cs="Arial" w:eastAsia="Arial" w:hAnsi="Arial"/>
                <w:sz w:val="13"/>
                <w:szCs w:val="13"/>
                <w:b w:val="1"/>
                <w:bCs w:val="1"/>
                <w:color w:val="auto"/>
                <w:w w:val="92"/>
              </w:rPr>
              <w:t>March 31, 2015</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6060" w:type="dxa"/>
            <w:vAlign w:val="bottom"/>
            <w:gridSpan w:val="7"/>
            <w:shd w:val="clear" w:color="auto" w:fill="CCEEFF"/>
          </w:tcPr>
          <w:p>
            <w:pPr>
              <w:ind w:left="20"/>
              <w:spacing w:after="0"/>
              <w:rPr>
                <w:sz w:val="20"/>
                <w:szCs w:val="20"/>
                <w:color w:val="auto"/>
              </w:rPr>
            </w:pPr>
            <w:r>
              <w:rPr>
                <w:rFonts w:ascii="Arial" w:cs="Arial" w:eastAsia="Arial" w:hAnsi="Arial"/>
                <w:sz w:val="17"/>
                <w:szCs w:val="17"/>
                <w:color w:val="auto"/>
              </w:rPr>
              <w:t>Production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10,915</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12,465</w:t>
            </w:r>
          </w:p>
        </w:tc>
        <w:tc>
          <w:tcPr>
            <w:tcW w:w="0" w:type="dxa"/>
            <w:vAlign w:val="bottom"/>
          </w:tcPr>
          <w:p>
            <w:pPr>
              <w:spacing w:after="0"/>
              <w:rPr>
                <w:sz w:val="1"/>
                <w:szCs w:val="1"/>
                <w:color w:val="auto"/>
              </w:rPr>
            </w:pPr>
          </w:p>
        </w:tc>
      </w:tr>
      <w:tr>
        <w:trPr>
          <w:trHeight w:val="275"/>
        </w:trPr>
        <w:tc>
          <w:tcPr>
            <w:tcW w:w="1140" w:type="dxa"/>
            <w:vAlign w:val="bottom"/>
          </w:tcPr>
          <w:p>
            <w:pPr>
              <w:spacing w:after="0"/>
              <w:rPr>
                <w:sz w:val="23"/>
                <w:szCs w:val="23"/>
                <w:color w:val="auto"/>
              </w:rPr>
            </w:pPr>
          </w:p>
        </w:tc>
        <w:tc>
          <w:tcPr>
            <w:tcW w:w="6060" w:type="dxa"/>
            <w:vAlign w:val="bottom"/>
            <w:gridSpan w:val="7"/>
          </w:tcPr>
          <w:p>
            <w:pPr>
              <w:ind w:left="20"/>
              <w:spacing w:after="0" w:line="276"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(v)</w:t>
            </w:r>
          </w:p>
        </w:tc>
        <w:tc>
          <w:tcPr>
            <w:tcW w:w="100" w:type="dxa"/>
            <w:vAlign w:val="bottom"/>
          </w:tcPr>
          <w:p>
            <w:pPr>
              <w:spacing w:after="0"/>
              <w:rPr>
                <w:sz w:val="23"/>
                <w:szCs w:val="23"/>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819</w:t>
            </w:r>
          </w:p>
        </w:tc>
        <w:tc>
          <w:tcPr>
            <w:tcW w:w="100" w:type="dxa"/>
            <w:vAlign w:val="bottom"/>
          </w:tcPr>
          <w:p>
            <w:pPr>
              <w:spacing w:after="0"/>
              <w:rPr>
                <w:sz w:val="23"/>
                <w:szCs w:val="23"/>
                <w:color w:val="auto"/>
              </w:rPr>
            </w:pPr>
          </w:p>
        </w:tc>
        <w:tc>
          <w:tcPr>
            <w:tcW w:w="1420" w:type="dxa"/>
            <w:vAlign w:val="bottom"/>
            <w:gridSpan w:val="2"/>
          </w:tcPr>
          <w:p>
            <w:pPr>
              <w:jc w:val="right"/>
              <w:ind w:right="80"/>
              <w:spacing w:after="0"/>
              <w:rPr>
                <w:sz w:val="20"/>
                <w:szCs w:val="20"/>
                <w:color w:val="auto"/>
              </w:rPr>
            </w:pPr>
            <w:r>
              <w:rPr>
                <w:rFonts w:ascii="Arial" w:cs="Arial" w:eastAsia="Arial" w:hAnsi="Arial"/>
                <w:sz w:val="17"/>
                <w:szCs w:val="17"/>
                <w:color w:val="auto"/>
              </w:rPr>
              <w:t>(409)</w:t>
            </w: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140" w:type="dxa"/>
            <w:vAlign w:val="bottom"/>
          </w:tcPr>
          <w:p>
            <w:pPr>
              <w:spacing w:after="0"/>
              <w:rPr>
                <w:sz w:val="17"/>
                <w:szCs w:val="17"/>
                <w:color w:val="auto"/>
              </w:rPr>
            </w:pPr>
          </w:p>
        </w:tc>
        <w:tc>
          <w:tcPr>
            <w:tcW w:w="6060" w:type="dxa"/>
            <w:vAlign w:val="bottom"/>
            <w:gridSpan w:val="7"/>
            <w:shd w:val="clear" w:color="auto" w:fill="CCEEFF"/>
          </w:tcPr>
          <w:p>
            <w:pPr>
              <w:ind w:left="20"/>
              <w:spacing w:after="0"/>
              <w:rPr>
                <w:sz w:val="20"/>
                <w:szCs w:val="20"/>
                <w:color w:val="auto"/>
              </w:rPr>
            </w:pPr>
            <w:r>
              <w:rPr>
                <w:rFonts w:ascii="Arial" w:cs="Arial" w:eastAsia="Arial" w:hAnsi="Arial"/>
                <w:sz w:val="17"/>
                <w:szCs w:val="17"/>
                <w:color w:val="auto"/>
              </w:rPr>
              <w:t>Minesite operating costs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11,734</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12,056</w:t>
            </w: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6060" w:type="dxa"/>
            <w:vAlign w:val="bottom"/>
            <w:gridSpan w:val="7"/>
          </w:tcPr>
          <w:p>
            <w:pPr>
              <w:ind w:left="20"/>
              <w:spacing w:after="0"/>
              <w:rPr>
                <w:sz w:val="20"/>
                <w:szCs w:val="20"/>
                <w:color w:val="auto"/>
              </w:rPr>
            </w:pPr>
            <w:r>
              <w:rPr>
                <w:rFonts w:ascii="Arial" w:cs="Arial" w:eastAsia="Arial" w:hAnsi="Arial"/>
                <w:sz w:val="17"/>
                <w:szCs w:val="17"/>
                <w:color w:val="auto"/>
              </w:rPr>
              <w:t>Tonnes of ore processed (thousands of tonnes)</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1,396</w:t>
            </w:r>
          </w:p>
        </w:tc>
        <w:tc>
          <w:tcPr>
            <w:tcW w:w="100" w:type="dxa"/>
            <w:vAlign w:val="bottom"/>
          </w:tcPr>
          <w:p>
            <w:pPr>
              <w:spacing w:after="0"/>
              <w:rPr>
                <w:sz w:val="18"/>
                <w:szCs w:val="18"/>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1,378</w:t>
            </w: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4920" w:type="dxa"/>
            <w:vAlign w:val="bottom"/>
            <w:gridSpan w:val="6"/>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2"/>
        </w:trPr>
        <w:tc>
          <w:tcPr>
            <w:tcW w:w="1140" w:type="dxa"/>
            <w:vAlign w:val="bottom"/>
          </w:tcPr>
          <w:p>
            <w:pPr>
              <w:spacing w:after="0"/>
              <w:rPr>
                <w:sz w:val="21"/>
                <w:szCs w:val="21"/>
                <w:color w:val="auto"/>
              </w:rPr>
            </w:pPr>
          </w:p>
        </w:tc>
        <w:tc>
          <w:tcPr>
            <w:tcW w:w="6060" w:type="dxa"/>
            <w:vAlign w:val="bottom"/>
            <w:gridSpan w:val="7"/>
            <w:shd w:val="clear" w:color="auto" w:fill="CCEEFF"/>
          </w:tcPr>
          <w:p>
            <w:pPr>
              <w:ind w:left="20"/>
              <w:spacing w:after="0" w:line="242" w:lineRule="exact"/>
              <w:rPr>
                <w:sz w:val="20"/>
                <w:szCs w:val="20"/>
                <w:color w:val="auto"/>
              </w:rPr>
            </w:pPr>
            <w:r>
              <w:rPr>
                <w:rFonts w:ascii="Arial" w:cs="Arial" w:eastAsia="Arial" w:hAnsi="Arial"/>
                <w:sz w:val="17"/>
                <w:szCs w:val="17"/>
                <w:color w:val="auto"/>
              </w:rPr>
              <w:t>Minesite costs per tonne (US$)</w:t>
            </w:r>
            <w:r>
              <w:rPr>
                <w:rFonts w:ascii="Arial" w:cs="Arial" w:eastAsia="Arial" w:hAnsi="Arial"/>
                <w:sz w:val="28"/>
                <w:szCs w:val="28"/>
                <w:color w:val="auto"/>
                <w:vertAlign w:val="superscript"/>
              </w:rPr>
              <w:t>(iii)</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w:t>
            </w: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23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
        </w:trPr>
        <w:tc>
          <w:tcPr>
            <w:tcW w:w="1140" w:type="dxa"/>
            <w:vAlign w:val="bottom"/>
          </w:tcPr>
          <w:p>
            <w:pPr>
              <w:spacing w:after="0"/>
              <w:rPr>
                <w:sz w:val="7"/>
                <w:szCs w:val="7"/>
                <w:color w:val="auto"/>
              </w:rPr>
            </w:pPr>
          </w:p>
        </w:tc>
        <w:tc>
          <w:tcPr>
            <w:tcW w:w="1140" w:type="dxa"/>
            <w:vAlign w:val="bottom"/>
            <w:tcBorders>
              <w:bottom w:val="single" w:sz="8" w:color="auto"/>
            </w:tcBorders>
          </w:tcPr>
          <w:p>
            <w:pPr>
              <w:spacing w:after="0"/>
              <w:rPr>
                <w:sz w:val="7"/>
                <w:szCs w:val="7"/>
                <w:color w:val="auto"/>
              </w:rPr>
            </w:pPr>
          </w:p>
        </w:tc>
        <w:tc>
          <w:tcPr>
            <w:tcW w:w="880" w:type="dxa"/>
            <w:vAlign w:val="bottom"/>
          </w:tcPr>
          <w:p>
            <w:pPr>
              <w:spacing w:after="0"/>
              <w:rPr>
                <w:sz w:val="7"/>
                <w:szCs w:val="7"/>
                <w:color w:val="auto"/>
              </w:rPr>
            </w:pPr>
          </w:p>
        </w:tc>
        <w:tc>
          <w:tcPr>
            <w:tcW w:w="20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80" w:type="dxa"/>
            <w:vAlign w:val="bottom"/>
          </w:tcPr>
          <w:p>
            <w:pPr>
              <w:spacing w:after="0"/>
              <w:rPr>
                <w:sz w:val="7"/>
                <w:szCs w:val="7"/>
                <w:color w:val="auto"/>
              </w:rPr>
            </w:pPr>
          </w:p>
        </w:tc>
        <w:tc>
          <w:tcPr>
            <w:tcW w:w="180" w:type="dxa"/>
            <w:vAlign w:val="bottom"/>
          </w:tcPr>
          <w:p>
            <w:pPr>
              <w:spacing w:after="0"/>
              <w:rPr>
                <w:sz w:val="7"/>
                <w:szCs w:val="7"/>
                <w:color w:val="auto"/>
              </w:rPr>
            </w:pPr>
          </w:p>
        </w:tc>
        <w:tc>
          <w:tcPr>
            <w:tcW w:w="23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80" w:type="dxa"/>
            <w:vAlign w:val="bottom"/>
          </w:tcPr>
          <w:p>
            <w:pPr>
              <w:spacing w:after="0"/>
              <w:rPr>
                <w:sz w:val="7"/>
                <w:szCs w:val="7"/>
                <w:color w:val="auto"/>
              </w:rPr>
            </w:pPr>
          </w:p>
        </w:tc>
        <w:tc>
          <w:tcPr>
            <w:tcW w:w="1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left="1140"/>
        <w:spacing w:after="0"/>
        <w:rPr>
          <w:sz w:val="20"/>
          <w:szCs w:val="20"/>
          <w:color w:val="auto"/>
        </w:rPr>
      </w:pPr>
      <w:r>
        <w:rPr>
          <w:rFonts w:ascii="Arial" w:cs="Arial" w:eastAsia="Arial" w:hAnsi="Arial"/>
          <w:sz w:val="17"/>
          <w:szCs w:val="17"/>
          <w:color w:val="auto"/>
        </w:rPr>
        <w:t>Notes:</w:t>
      </w:r>
    </w:p>
    <w:p>
      <w:pPr>
        <w:spacing w:after="0" w:line="237" w:lineRule="exact"/>
        <w:rPr>
          <w:sz w:val="20"/>
          <w:szCs w:val="20"/>
          <w:color w:val="auto"/>
        </w:rPr>
      </w:pPr>
    </w:p>
    <w:p>
      <w:pPr>
        <w:jc w:val="both"/>
        <w:ind w:left="1680" w:hanging="533"/>
        <w:spacing w:after="0" w:line="270" w:lineRule="auto"/>
        <w:tabs>
          <w:tab w:leader="none" w:pos="1680" w:val="left"/>
        </w:tabs>
        <w:numPr>
          <w:ilvl w:val="0"/>
          <w:numId w:val="2"/>
        </w:numPr>
        <w:rPr>
          <w:rFonts w:ascii="Arial" w:cs="Arial" w:eastAsia="Arial" w:hAnsi="Arial"/>
          <w:sz w:val="17"/>
          <w:szCs w:val="17"/>
          <w:color w:val="auto"/>
        </w:rPr>
      </w:pPr>
      <w:r>
        <w:rPr>
          <w:rFonts w:ascii="Arial" w:cs="Arial" w:eastAsia="Arial" w:hAnsi="Arial"/>
          <w:sz w:val="17"/>
          <w:szCs w:val="17"/>
          <w:color w:val="auto"/>
        </w:rPr>
        <w:t>On June 16, 2014, Agnico Eagle and Yamana jointly acquired 100.0% of Osisko by way of the Arrangement. As a result of the Arrangement, Agnico Eagle and Yamana each indirectly own 50.0% of CMC and the Partnership, which now holds the Canadian Malartic mine. The information set out in this table reflects the Company's 50.0% interest in the Canadian Malartic mine.</w:t>
      </w:r>
    </w:p>
    <w:p>
      <w:pPr>
        <w:spacing w:after="0" w:line="205" w:lineRule="exact"/>
        <w:rPr>
          <w:rFonts w:ascii="Arial" w:cs="Arial" w:eastAsia="Arial" w:hAnsi="Arial"/>
          <w:sz w:val="17"/>
          <w:szCs w:val="17"/>
          <w:color w:val="auto"/>
        </w:rPr>
      </w:pPr>
    </w:p>
    <w:p>
      <w:pPr>
        <w:jc w:val="both"/>
        <w:ind w:left="1680" w:hanging="533"/>
        <w:spacing w:after="0" w:line="280" w:lineRule="auto"/>
        <w:tabs>
          <w:tab w:leader="none" w:pos="1680" w:val="left"/>
        </w:tabs>
        <w:numPr>
          <w:ilvl w:val="0"/>
          <w:numId w:val="2"/>
        </w:numPr>
        <w:rPr>
          <w:rFonts w:ascii="Arial" w:cs="Arial" w:eastAsia="Arial" w:hAnsi="Arial"/>
          <w:sz w:val="16"/>
          <w:szCs w:val="16"/>
          <w:color w:val="auto"/>
        </w:rPr>
      </w:pPr>
      <w:r>
        <w:rPr>
          <w:rFonts w:ascii="Arial" w:cs="Arial" w:eastAsia="Arial" w:hAnsi="Arial"/>
          <w:sz w:val="16"/>
          <w:szCs w:val="16"/>
          <w:color w:val="auto"/>
        </w:rPr>
        <w:t>Total cash costs per ounce of gold produced is not a recognized measure under IFRS and this data may not be comparable to data reported by other gold producers. Total cash costs per ounce of gold produced is reported on both a by-product basis (deducting by-product metal revenues from production costs) and co-product basis (before by-product metal revenues). Total cash costs per ounce of gold produced on a by-product basis is calculated by adjusting production costs as recorded in the condensed interim consolidated statements of income and comprehensive income for by-product metal revenues, unsold concentrate inventory production costs, smelting, refining and marketing charges and other adjustments, and then dividing by the number of ounces of gold produced. Total cash costs per ounce of gold produced on a co-product basis is calculated in the same manner as total cash costs per ounce of gold</w:t>
      </w:r>
    </w:p>
    <w:p>
      <w:pPr>
        <w:spacing w:after="0" w:line="17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2" w:name="page23"/>
    <w:bookmarkEnd w:id="22"/>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Months Ended March 31, 2016</w:t>
      </w:r>
    </w:p>
    <w:p>
      <w:pPr>
        <w:spacing w:after="0" w:line="218" w:lineRule="exact"/>
        <w:rPr>
          <w:sz w:val="20"/>
          <w:szCs w:val="20"/>
          <w:color w:val="auto"/>
        </w:rPr>
      </w:pPr>
    </w:p>
    <w:p>
      <w:pPr>
        <w:jc w:val="both"/>
        <w:ind w:left="1680"/>
        <w:spacing w:after="0" w:line="277" w:lineRule="auto"/>
        <w:rPr>
          <w:sz w:val="20"/>
          <w:szCs w:val="20"/>
          <w:color w:val="auto"/>
        </w:rPr>
      </w:pPr>
      <w:r>
        <w:rPr>
          <w:rFonts w:ascii="Arial" w:cs="Arial" w:eastAsia="Arial" w:hAnsi="Arial"/>
          <w:sz w:val="16"/>
          <w:szCs w:val="16"/>
          <w:color w:val="auto"/>
        </w:rPr>
        <w:t>produced on a by-product basis except that no adjustment for by-product metal revenues is made. Accordingly, the calculation of total cash costs per ounce of gold produced on a co-product basis does not reflect a reduction in production costs or smelting, refining and marketing charges associated with the production and sale of by-product metals. The Company believes that these generally accepted industry measures provide a realistic indication of operating performance and provide useful comparison points between periods. Total cash costs per ounce of gold produced is intended to provide information about the cash generating capabilities of the Company's mining operations. Management also uses these measures to monitor the performance of the Company's mining operations. As market prices for gold are quoted on a per ounce basis, using the total cash costs per ounce of gold produced on a by-product basis measure allows management to assess a mine's cash generating capabilities at various gold prices. Management is aware that these per ounce measures of performance can be affected by fluctuations in exchange rates and, in the case of total cash costs of gold produced on a by-product basis, by-product metal prices. Management compensates for these inherent limitations by using these measures in conjunction with minesite costs per tonne as well as other data prepared in accordance with IFRS. Management also performs sensitivity analyses in order to quantify the effects of fluctuating metal prices and exchange rates.</w:t>
      </w:r>
    </w:p>
    <w:p>
      <w:pPr>
        <w:spacing w:after="0" w:line="192" w:lineRule="exact"/>
        <w:rPr>
          <w:sz w:val="20"/>
          <w:szCs w:val="20"/>
          <w:color w:val="auto"/>
        </w:rPr>
      </w:pPr>
    </w:p>
    <w:p>
      <w:pPr>
        <w:jc w:val="both"/>
        <w:ind w:left="1680" w:hanging="533"/>
        <w:spacing w:after="0" w:line="278" w:lineRule="auto"/>
        <w:tabs>
          <w:tab w:leader="none" w:pos="1680" w:val="left"/>
        </w:tabs>
        <w:numPr>
          <w:ilvl w:val="0"/>
          <w:numId w:val="3"/>
        </w:numPr>
        <w:rPr>
          <w:rFonts w:ascii="Arial" w:cs="Arial" w:eastAsia="Arial" w:hAnsi="Arial"/>
          <w:sz w:val="16"/>
          <w:szCs w:val="16"/>
          <w:color w:val="auto"/>
        </w:rPr>
      </w:pPr>
      <w:r>
        <w:rPr>
          <w:rFonts w:ascii="Arial" w:cs="Arial" w:eastAsia="Arial" w:hAnsi="Arial"/>
          <w:sz w:val="16"/>
          <w:szCs w:val="16"/>
          <w:color w:val="auto"/>
        </w:rPr>
        <w:t>Minesite costs per tonne is not a recognized measure under IFRS and this data may not be comparable to data reported by other gold producers. This measure is calculated by adjusting production costs as shown in the condensed interim consolidated statements of income and comprehensive income for unsold concentrate inventory production costs, and then dividing by tonnes of ore milled. As the total cash costs per ounce of gold produced measure can be affected by fluctuations in by-product metal prices and exchange rates, management believes that the minesite costs per tonne measure provides additional information regarding the performance of mining operations, eliminating the impact of varying production levels. Management also uses this measure to determine the economic viability of mining blocks. As each mining block is evaluated based on the net realizable value of each tonne mined, in order to be economically viable the estimated revenue on a per tonne basis must be in excess of the minesite costs per tonne. Management is aware that this per tonne measure of performance can be impacted by fluctuations in processing levels and compensates for this inherent limitation by using this measure in conjunction with production costs prepared in accordance with IFRS.</w:t>
      </w:r>
    </w:p>
    <w:p>
      <w:pPr>
        <w:spacing w:after="0" w:line="202" w:lineRule="exact"/>
        <w:rPr>
          <w:rFonts w:ascii="Arial" w:cs="Arial" w:eastAsia="Arial" w:hAnsi="Arial"/>
          <w:sz w:val="16"/>
          <w:szCs w:val="16"/>
          <w:color w:val="auto"/>
        </w:rPr>
      </w:pPr>
    </w:p>
    <w:p>
      <w:pPr>
        <w:jc w:val="both"/>
        <w:ind w:left="1680" w:hanging="533"/>
        <w:spacing w:after="0" w:line="265" w:lineRule="auto"/>
        <w:tabs>
          <w:tab w:leader="none" w:pos="1680" w:val="left"/>
        </w:tabs>
        <w:numPr>
          <w:ilvl w:val="0"/>
          <w:numId w:val="3"/>
        </w:numPr>
        <w:rPr>
          <w:rFonts w:ascii="Arial" w:cs="Arial" w:eastAsia="Arial" w:hAnsi="Arial"/>
          <w:sz w:val="17"/>
          <w:szCs w:val="17"/>
          <w:color w:val="auto"/>
        </w:rPr>
      </w:pPr>
      <w:r>
        <w:rPr>
          <w:rFonts w:ascii="Arial" w:cs="Arial" w:eastAsia="Arial" w:hAnsi="Arial"/>
          <w:sz w:val="17"/>
          <w:szCs w:val="17"/>
          <w:color w:val="auto"/>
        </w:rPr>
        <w:t>Under the Company's revenue recognition policy, revenue is recognized on concentrates when legal title and risk is transferred. As total cash costs per ounce of gold produced are calculated on a production basis, an inventory adjustment is made to reflect the sales margin on the portion of concentrate production not yet recognized as revenue. Other adjustments include the addition of smelting, refining and marketing charges to production costs.</w:t>
      </w:r>
    </w:p>
    <w:p>
      <w:pPr>
        <w:spacing w:after="0" w:line="198" w:lineRule="exact"/>
        <w:rPr>
          <w:rFonts w:ascii="Arial" w:cs="Arial" w:eastAsia="Arial" w:hAnsi="Arial"/>
          <w:sz w:val="17"/>
          <w:szCs w:val="17"/>
          <w:color w:val="auto"/>
        </w:rPr>
      </w:pPr>
    </w:p>
    <w:p>
      <w:pPr>
        <w:ind w:left="1680" w:hanging="533"/>
        <w:spacing w:after="0"/>
        <w:tabs>
          <w:tab w:leader="none" w:pos="168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This inventory and other adjustment reflects production costs associated with unsold concentrates.</w:t>
      </w:r>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All-in Sustaining Costs per Ounce of Gold Produced</w:t>
      </w:r>
    </w:p>
    <w:p>
      <w:pPr>
        <w:spacing w:after="0" w:line="224" w:lineRule="exact"/>
        <w:rPr>
          <w:sz w:val="20"/>
          <w:szCs w:val="20"/>
          <w:color w:val="auto"/>
        </w:rPr>
      </w:pPr>
    </w:p>
    <w:p>
      <w:pPr>
        <w:jc w:val="both"/>
        <w:ind w:firstLine="391"/>
        <w:spacing w:after="0" w:line="265" w:lineRule="auto"/>
        <w:rPr>
          <w:sz w:val="20"/>
          <w:szCs w:val="20"/>
          <w:color w:val="auto"/>
        </w:rPr>
      </w:pPr>
      <w:r>
        <w:rPr>
          <w:rFonts w:ascii="Arial" w:cs="Arial" w:eastAsia="Arial" w:hAnsi="Arial"/>
          <w:sz w:val="17"/>
          <w:szCs w:val="17"/>
          <w:color w:val="auto"/>
        </w:rPr>
        <w:t>All-in sustaining costs per ounce of gold produced is not a recognized measure under IFRS and this data may not be comparable to data reported by other gold producers. The Company believes that this measure provides information about operating performance. However, this non-GAAP measure should be considered together with other data prepared in accordance with IFRS as it is not necessarily indicative of operating costs or cash flow measures prepared in accordance with IFRS.</w:t>
      </w:r>
    </w:p>
    <w:p>
      <w:pPr>
        <w:spacing w:after="0" w:line="185" w:lineRule="exact"/>
        <w:rPr>
          <w:sz w:val="20"/>
          <w:szCs w:val="20"/>
          <w:color w:val="auto"/>
        </w:rPr>
      </w:pPr>
    </w:p>
    <w:p>
      <w:pPr>
        <w:jc w:val="both"/>
        <w:ind w:firstLine="396"/>
        <w:spacing w:after="0" w:line="301" w:lineRule="auto"/>
        <w:rPr>
          <w:sz w:val="20"/>
          <w:szCs w:val="20"/>
          <w:color w:val="auto"/>
        </w:rPr>
      </w:pPr>
      <w:r>
        <w:rPr>
          <w:rFonts w:ascii="Arial" w:cs="Arial" w:eastAsia="Arial" w:hAnsi="Arial"/>
          <w:sz w:val="15"/>
          <w:szCs w:val="15"/>
          <w:color w:val="auto"/>
        </w:rPr>
        <w:t>All-in sustaining costs per ounce of gold produced is reported on both a by-product basis (deducting by-product metal revenues from production costs) and co-product basis (before by-product metal revenues). All-in sustaining costs per ounce of gold produced on a by-product basis is calculated as the aggregate of total cash costs per ounce of gold produced on a by-product basis and sustaining capital expenditures (including capitalized exploration), general and administrative expenses (including stock options) and non-cash reclamation provision expense per ounce of gold produced. All-in sustaining costs per ounce of gold produced on a co-product basis is calculated in the same manner as all-in sustaining costs per ounce of gold produced on a by-product basis except that no adjustment for by-product metal revenues is made to total cash costs per ounce of gold produced. The calculation of all-in sustaining costs per ounce of gold produced on a co-product basis does not reflect a reduction in production costs or smelting, refining and marketing charges associated with the production and sale of by-product metals.</w:t>
      </w:r>
    </w:p>
    <w:p>
      <w:pPr>
        <w:spacing w:after="0" w:line="164" w:lineRule="exact"/>
        <w:rPr>
          <w:sz w:val="20"/>
          <w:szCs w:val="20"/>
          <w:color w:val="auto"/>
        </w:rPr>
      </w:pPr>
    </w:p>
    <w:p>
      <w:pPr>
        <w:jc w:val="both"/>
        <w:ind w:firstLine="366"/>
        <w:spacing w:after="0" w:line="270" w:lineRule="auto"/>
        <w:rPr>
          <w:sz w:val="20"/>
          <w:szCs w:val="20"/>
          <w:color w:val="auto"/>
        </w:rPr>
      </w:pPr>
      <w:r>
        <w:rPr>
          <w:rFonts w:ascii="Arial" w:cs="Arial" w:eastAsia="Arial" w:hAnsi="Arial"/>
          <w:sz w:val="17"/>
          <w:szCs w:val="17"/>
          <w:color w:val="auto"/>
        </w:rPr>
        <w:t>The following table sets out a reconciliation of production costs to all-in sustaining costs per ounce of gold produced for the three months ended March 31, 2016 and the three months ended March 31, 2015 on both a by-product basis (deducting by-product metal revenues from production costs) and co-product basis (before by-product metal revenues).</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3" w:name="page24"/>
    <w:bookmarkEnd w:id="23"/>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MANAGEMENT'S DISCUSSION AND ANALYSIS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(Prepared in accordance with International Financial Reporting Standards)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For the Three Months Ended March 31, 2016</w:t>
      </w:r>
    </w:p>
    <w:p>
      <w:pPr>
        <w:spacing w:after="0" w:line="214"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Reconciliation of Production Costs to All-in Sustaining Costs per Ounce of Gold Produced</w:t>
      </w:r>
    </w:p>
    <w:p>
      <w:pPr>
        <w:spacing w:after="0" w:line="218"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3220" w:type="dxa"/>
            <w:vAlign w:val="bottom"/>
          </w:tcPr>
          <w:p>
            <w:pPr>
              <w:spacing w:after="0"/>
              <w:rPr>
                <w:sz w:val="13"/>
                <w:szCs w:val="13"/>
                <w:color w:val="auto"/>
              </w:rPr>
            </w:pPr>
          </w:p>
        </w:tc>
        <w:tc>
          <w:tcPr>
            <w:tcW w:w="1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40" w:type="dxa"/>
            <w:vAlign w:val="bottom"/>
            <w:gridSpan w:val="2"/>
          </w:tcPr>
          <w:p>
            <w:pPr>
              <w:jc w:val="right"/>
              <w:ind w:right="240"/>
              <w:spacing w:after="0"/>
              <w:rPr>
                <w:sz w:val="20"/>
                <w:szCs w:val="20"/>
                <w:color w:val="auto"/>
              </w:rPr>
            </w:pPr>
            <w:r>
              <w:rPr>
                <w:rFonts w:ascii="Arial" w:cs="Arial" w:eastAsia="Arial" w:hAnsi="Arial"/>
                <w:sz w:val="13"/>
                <w:szCs w:val="13"/>
                <w:b w:val="1"/>
                <w:bCs w:val="1"/>
                <w:color w:val="auto"/>
                <w:w w:val="91"/>
              </w:rPr>
              <w:t>Three Months Ended</w:t>
            </w:r>
          </w:p>
        </w:tc>
        <w:tc>
          <w:tcPr>
            <w:tcW w:w="100" w:type="dxa"/>
            <w:vAlign w:val="bottom"/>
          </w:tcPr>
          <w:p>
            <w:pPr>
              <w:spacing w:after="0"/>
              <w:rPr>
                <w:sz w:val="13"/>
                <w:szCs w:val="13"/>
                <w:color w:val="auto"/>
              </w:rPr>
            </w:pPr>
          </w:p>
        </w:tc>
        <w:tc>
          <w:tcPr>
            <w:tcW w:w="1420" w:type="dxa"/>
            <w:vAlign w:val="bottom"/>
            <w:gridSpan w:val="2"/>
          </w:tcPr>
          <w:p>
            <w:pPr>
              <w:jc w:val="right"/>
              <w:ind w:right="240"/>
              <w:spacing w:after="0"/>
              <w:rPr>
                <w:sz w:val="20"/>
                <w:szCs w:val="20"/>
                <w:color w:val="auto"/>
              </w:rPr>
            </w:pPr>
            <w:r>
              <w:rPr>
                <w:rFonts w:ascii="Arial" w:cs="Arial" w:eastAsia="Arial" w:hAnsi="Arial"/>
                <w:sz w:val="13"/>
                <w:szCs w:val="13"/>
                <w:b w:val="1"/>
                <w:bCs w:val="1"/>
                <w:color w:val="auto"/>
                <w:w w:val="90"/>
              </w:rPr>
              <w:t>Three Months Ended</w:t>
            </w:r>
          </w:p>
        </w:tc>
        <w:tc>
          <w:tcPr>
            <w:tcW w:w="0" w:type="dxa"/>
            <w:vAlign w:val="bottom"/>
          </w:tcPr>
          <w:p>
            <w:pPr>
              <w:spacing w:after="0"/>
              <w:rPr>
                <w:sz w:val="1"/>
                <w:szCs w:val="1"/>
                <w:color w:val="auto"/>
              </w:rPr>
            </w:pPr>
          </w:p>
        </w:tc>
      </w:tr>
      <w:tr>
        <w:trPr>
          <w:trHeight w:val="157"/>
        </w:trPr>
        <w:tc>
          <w:tcPr>
            <w:tcW w:w="4360" w:type="dxa"/>
            <w:vAlign w:val="bottom"/>
            <w:tcBorders>
              <w:bottom w:val="single" w:sz="8" w:color="auto"/>
            </w:tcBorders>
            <w:gridSpan w:val="2"/>
          </w:tcPr>
          <w:p>
            <w:pPr>
              <w:ind w:left="20"/>
              <w:spacing w:after="0"/>
              <w:rPr>
                <w:sz w:val="20"/>
                <w:szCs w:val="20"/>
                <w:color w:val="auto"/>
              </w:rPr>
            </w:pPr>
            <w:r>
              <w:rPr>
                <w:rFonts w:ascii="Arial" w:cs="Arial" w:eastAsia="Arial" w:hAnsi="Arial"/>
                <w:sz w:val="13"/>
                <w:szCs w:val="13"/>
                <w:b w:val="1"/>
                <w:bCs w:val="1"/>
                <w:color w:val="auto"/>
                <w:w w:val="97"/>
              </w:rPr>
              <w:t>(United States dollars per ounce of gold produced, except where noted)</w:t>
            </w:r>
          </w:p>
        </w:tc>
        <w:tc>
          <w:tcPr>
            <w:tcW w:w="170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157"/>
              <w:spacing w:after="0"/>
              <w:rPr>
                <w:sz w:val="20"/>
                <w:szCs w:val="20"/>
                <w:color w:val="auto"/>
              </w:rPr>
            </w:pPr>
            <w:r>
              <w:rPr>
                <w:rFonts w:ascii="Arial" w:cs="Arial" w:eastAsia="Arial" w:hAnsi="Arial"/>
                <w:sz w:val="13"/>
                <w:szCs w:val="13"/>
                <w:b w:val="1"/>
                <w:bCs w:val="1"/>
                <w:color w:val="auto"/>
              </w:rPr>
              <w:t>March 31, 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177"/>
              <w:spacing w:after="0"/>
              <w:rPr>
                <w:sz w:val="20"/>
                <w:szCs w:val="20"/>
                <w:color w:val="auto"/>
              </w:rPr>
            </w:pPr>
            <w:r>
              <w:rPr>
                <w:rFonts w:ascii="Arial" w:cs="Arial" w:eastAsia="Arial" w:hAnsi="Arial"/>
                <w:sz w:val="13"/>
                <w:szCs w:val="13"/>
                <w:b w:val="1"/>
                <w:bCs w:val="1"/>
                <w:color w:val="auto"/>
              </w:rPr>
              <w:t>March 31, 2015</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4"/>
        </w:trPr>
        <w:tc>
          <w:tcPr>
            <w:tcW w:w="6060" w:type="dxa"/>
            <w:vAlign w:val="bottom"/>
            <w:gridSpan w:val="3"/>
            <w:shd w:val="clear" w:color="auto" w:fill="CCEEFF"/>
          </w:tcPr>
          <w:p>
            <w:pPr>
              <w:ind w:left="20"/>
              <w:spacing w:after="0" w:line="194" w:lineRule="exact"/>
              <w:rPr>
                <w:sz w:val="20"/>
                <w:szCs w:val="20"/>
                <w:color w:val="auto"/>
              </w:rPr>
            </w:pPr>
            <w:r>
              <w:rPr>
                <w:rFonts w:ascii="Arial" w:cs="Arial" w:eastAsia="Arial" w:hAnsi="Arial"/>
                <w:sz w:val="17"/>
                <w:szCs w:val="17"/>
                <w:color w:val="auto"/>
                <w:w w:val="96"/>
              </w:rPr>
              <w:t>Production costs per the interim condensed consolidated statements of income and</w:t>
            </w:r>
          </w:p>
        </w:tc>
        <w:tc>
          <w:tcPr>
            <w:tcW w:w="10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6060" w:type="dxa"/>
            <w:vAlign w:val="bottom"/>
            <w:gridSpan w:val="3"/>
            <w:shd w:val="clear" w:color="auto" w:fill="CCEEFF"/>
          </w:tcPr>
          <w:p>
            <w:pPr>
              <w:ind w:left="180"/>
              <w:spacing w:after="0"/>
              <w:rPr>
                <w:sz w:val="20"/>
                <w:szCs w:val="20"/>
                <w:color w:val="auto"/>
              </w:rPr>
            </w:pPr>
            <w:r>
              <w:rPr>
                <w:rFonts w:ascii="Arial" w:cs="Arial" w:eastAsia="Arial" w:hAnsi="Arial"/>
                <w:sz w:val="17"/>
                <w:szCs w:val="17"/>
                <w:color w:val="auto"/>
              </w:rPr>
              <w:t>comprehensive income (thousands of United States dollars)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243,973</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247,280</w:t>
            </w:r>
          </w:p>
        </w:tc>
        <w:tc>
          <w:tcPr>
            <w:tcW w:w="0" w:type="dxa"/>
            <w:vAlign w:val="bottom"/>
          </w:tcPr>
          <w:p>
            <w:pPr>
              <w:spacing w:after="0"/>
              <w:rPr>
                <w:sz w:val="1"/>
                <w:szCs w:val="1"/>
                <w:color w:val="auto"/>
              </w:rPr>
            </w:pPr>
          </w:p>
        </w:tc>
      </w:tr>
      <w:tr>
        <w:trPr>
          <w:trHeight w:val="26"/>
        </w:trPr>
        <w:tc>
          <w:tcPr>
            <w:tcW w:w="6060" w:type="dxa"/>
            <w:vAlign w:val="bottom"/>
            <w:gridSpan w:val="3"/>
            <w:vMerge w:val="restart"/>
          </w:tcPr>
          <w:p>
            <w:pPr>
              <w:ind w:left="20"/>
              <w:spacing w:after="0"/>
              <w:rPr>
                <w:sz w:val="20"/>
                <w:szCs w:val="20"/>
                <w:color w:val="auto"/>
              </w:rPr>
            </w:pPr>
            <w:r>
              <w:rPr>
                <w:rFonts w:ascii="Arial" w:cs="Arial" w:eastAsia="Arial" w:hAnsi="Arial"/>
                <w:sz w:val="17"/>
                <w:szCs w:val="17"/>
                <w:color w:val="auto"/>
              </w:rPr>
              <w:t>Gold production (ounces)</w:t>
            </w: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4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6060" w:type="dxa"/>
            <w:vAlign w:val="bottom"/>
            <w:gridSpan w:val="3"/>
            <w:vMerge w:val="continue"/>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411,336</w:t>
            </w:r>
          </w:p>
        </w:tc>
        <w:tc>
          <w:tcPr>
            <w:tcW w:w="1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404,210</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606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Production costs per ounce of gold production</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593</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612</w:t>
            </w:r>
          </w:p>
        </w:tc>
        <w:tc>
          <w:tcPr>
            <w:tcW w:w="0" w:type="dxa"/>
            <w:vAlign w:val="bottom"/>
          </w:tcPr>
          <w:p>
            <w:pPr>
              <w:spacing w:after="0"/>
              <w:rPr>
                <w:sz w:val="1"/>
                <w:szCs w:val="1"/>
                <w:color w:val="auto"/>
              </w:rPr>
            </w:pPr>
          </w:p>
        </w:tc>
      </w:tr>
      <w:tr>
        <w:trPr>
          <w:trHeight w:val="210"/>
        </w:trPr>
        <w:tc>
          <w:tcPr>
            <w:tcW w:w="6060" w:type="dxa"/>
            <w:vAlign w:val="bottom"/>
            <w:gridSpan w:val="3"/>
          </w:tcPr>
          <w:p>
            <w:pPr>
              <w:ind w:left="20"/>
              <w:spacing w:after="0"/>
              <w:rPr>
                <w:sz w:val="20"/>
                <w:szCs w:val="20"/>
                <w:color w:val="auto"/>
              </w:rPr>
            </w:pPr>
            <w:r>
              <w:rPr>
                <w:rFonts w:ascii="Arial" w:cs="Arial" w:eastAsia="Arial" w:hAnsi="Arial"/>
                <w:sz w:val="17"/>
                <w:szCs w:val="17"/>
                <w:color w:val="auto"/>
              </w:rPr>
              <w:t>Adjustments:</w:t>
            </w: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6060" w:type="dxa"/>
            <w:vAlign w:val="bottom"/>
            <w:gridSpan w:val="3"/>
            <w:shd w:val="clear" w:color="auto" w:fill="CCEEFF"/>
          </w:tcPr>
          <w:p>
            <w:pPr>
              <w:ind w:left="180"/>
              <w:spacing w:after="0" w:line="249" w:lineRule="exact"/>
              <w:rPr>
                <w:sz w:val="20"/>
                <w:szCs w:val="20"/>
                <w:color w:val="auto"/>
              </w:rPr>
            </w:pPr>
            <w:r>
              <w:rPr>
                <w:rFonts w:ascii="Arial" w:cs="Arial" w:eastAsia="Arial" w:hAnsi="Arial"/>
                <w:sz w:val="17"/>
                <w:szCs w:val="17"/>
                <w:color w:val="auto"/>
              </w:rPr>
              <w:t>Inventory and other adjustments</w:t>
            </w:r>
            <w:r>
              <w:rPr>
                <w:rFonts w:ascii="Arial" w:cs="Arial" w:eastAsia="Arial" w:hAnsi="Arial"/>
                <w:sz w:val="28"/>
                <w:szCs w:val="28"/>
                <w:color w:val="auto"/>
                <w:vertAlign w:val="superscript"/>
              </w:rPr>
              <w:t>(i)</w:t>
            </w:r>
          </w:p>
        </w:tc>
        <w:tc>
          <w:tcPr>
            <w:tcW w:w="1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38</w:t>
            </w:r>
          </w:p>
        </w:tc>
        <w:tc>
          <w:tcPr>
            <w:tcW w:w="100" w:type="dxa"/>
            <w:vAlign w:val="bottom"/>
            <w:shd w:val="clear" w:color="auto" w:fill="CCEEFF"/>
          </w:tcPr>
          <w:p>
            <w:pPr>
              <w:spacing w:after="0"/>
              <w:rPr>
                <w:sz w:val="21"/>
                <w:szCs w:val="21"/>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39</w:t>
            </w:r>
          </w:p>
        </w:tc>
        <w:tc>
          <w:tcPr>
            <w:tcW w:w="0" w:type="dxa"/>
            <w:vAlign w:val="bottom"/>
          </w:tcPr>
          <w:p>
            <w:pPr>
              <w:spacing w:after="0"/>
              <w:rPr>
                <w:sz w:val="1"/>
                <w:szCs w:val="1"/>
                <w:color w:val="auto"/>
              </w:rPr>
            </w:pPr>
          </w:p>
        </w:tc>
      </w:tr>
      <w:tr>
        <w:trPr>
          <w:trHeight w:val="26"/>
        </w:trPr>
        <w:tc>
          <w:tcPr>
            <w:tcW w:w="6060" w:type="dxa"/>
            <w:vAlign w:val="bottom"/>
            <w:gridSpan w:val="3"/>
            <w:vMerge w:val="restart"/>
          </w:tcPr>
          <w:p>
            <w:pPr>
              <w:ind w:left="20"/>
              <w:spacing w:after="0" w:line="288" w:lineRule="exact"/>
              <w:rPr>
                <w:sz w:val="20"/>
                <w:szCs w:val="20"/>
                <w:color w:val="auto"/>
              </w:rPr>
            </w:pPr>
            <w:r>
              <w:rPr>
                <w:rFonts w:ascii="Arial" w:cs="Arial" w:eastAsia="Arial" w:hAnsi="Arial"/>
                <w:sz w:val="17"/>
                <w:szCs w:val="17"/>
                <w:color w:val="auto"/>
              </w:rPr>
              <w:t>Total cash costs per ounce of gold produced (co-product basis)</w:t>
            </w:r>
            <w:r>
              <w:rPr>
                <w:rFonts w:ascii="Arial" w:cs="Arial" w:eastAsia="Arial" w:hAnsi="Arial"/>
                <w:sz w:val="28"/>
                <w:szCs w:val="28"/>
                <w:color w:val="auto"/>
                <w:vertAlign w:val="superscript"/>
              </w:rPr>
              <w:t>(ii)</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6060" w:type="dxa"/>
            <w:vAlign w:val="bottom"/>
            <w:gridSpan w:val="3"/>
            <w:vMerge w:val="continue"/>
          </w:tcPr>
          <w:p>
            <w:pPr>
              <w:spacing w:after="0"/>
              <w:rPr>
                <w:sz w:val="21"/>
                <w:szCs w:val="21"/>
                <w:color w:val="auto"/>
              </w:rPr>
            </w:pP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631</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651</w:t>
            </w:r>
          </w:p>
        </w:tc>
        <w:tc>
          <w:tcPr>
            <w:tcW w:w="0" w:type="dxa"/>
            <w:vAlign w:val="bottom"/>
          </w:tcPr>
          <w:p>
            <w:pPr>
              <w:spacing w:after="0"/>
              <w:rPr>
                <w:sz w:val="1"/>
                <w:szCs w:val="1"/>
                <w:color w:val="auto"/>
              </w:rPr>
            </w:pPr>
          </w:p>
        </w:tc>
      </w:tr>
      <w:tr>
        <w:trPr>
          <w:trHeight w:val="210"/>
        </w:trPr>
        <w:tc>
          <w:tcPr>
            <w:tcW w:w="6060" w:type="dxa"/>
            <w:vAlign w:val="bottom"/>
            <w:gridSpan w:val="3"/>
            <w:shd w:val="clear" w:color="auto" w:fill="CCEEFF"/>
          </w:tcPr>
          <w:p>
            <w:pPr>
              <w:ind w:left="180"/>
              <w:spacing w:after="0"/>
              <w:rPr>
                <w:sz w:val="20"/>
                <w:szCs w:val="20"/>
                <w:color w:val="auto"/>
              </w:rPr>
            </w:pPr>
            <w:r>
              <w:rPr>
                <w:rFonts w:ascii="Arial" w:cs="Arial" w:eastAsia="Arial" w:hAnsi="Arial"/>
                <w:sz w:val="17"/>
                <w:szCs w:val="17"/>
                <w:color w:val="auto"/>
              </w:rPr>
              <w:t>By-product metal revenues</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(58)</w:t>
            </w: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(63)</w:t>
            </w:r>
          </w:p>
        </w:tc>
        <w:tc>
          <w:tcPr>
            <w:tcW w:w="0" w:type="dxa"/>
            <w:vAlign w:val="bottom"/>
          </w:tcPr>
          <w:p>
            <w:pPr>
              <w:spacing w:after="0"/>
              <w:rPr>
                <w:sz w:val="1"/>
                <w:szCs w:val="1"/>
                <w:color w:val="auto"/>
              </w:rPr>
            </w:pPr>
          </w:p>
        </w:tc>
      </w:tr>
      <w:tr>
        <w:trPr>
          <w:trHeight w:val="26"/>
        </w:trPr>
        <w:tc>
          <w:tcPr>
            <w:tcW w:w="6060" w:type="dxa"/>
            <w:vAlign w:val="bottom"/>
            <w:gridSpan w:val="3"/>
            <w:vMerge w:val="restart"/>
          </w:tcPr>
          <w:p>
            <w:pPr>
              <w:ind w:left="20"/>
              <w:spacing w:after="0" w:line="314" w:lineRule="exact"/>
              <w:rPr>
                <w:sz w:val="20"/>
                <w:szCs w:val="20"/>
                <w:color w:val="auto"/>
              </w:rPr>
            </w:pPr>
            <w:r>
              <w:rPr>
                <w:rFonts w:ascii="Arial" w:cs="Arial" w:eastAsia="Arial" w:hAnsi="Arial"/>
                <w:sz w:val="17"/>
                <w:szCs w:val="17"/>
                <w:color w:val="auto"/>
              </w:rPr>
              <w:t>Total cash costs per ounce of gold produced (by-product basis)</w:t>
            </w:r>
            <w:r>
              <w:rPr>
                <w:rFonts w:ascii="Arial" w:cs="Arial" w:eastAsia="Arial" w:hAnsi="Arial"/>
                <w:sz w:val="28"/>
                <w:szCs w:val="28"/>
                <w:color w:val="auto"/>
                <w:vertAlign w:val="superscript"/>
              </w:rPr>
              <w:t>(ii)</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6060" w:type="dxa"/>
            <w:vAlign w:val="bottom"/>
            <w:gridSpan w:val="3"/>
            <w:vMerge w:val="continue"/>
          </w:tcPr>
          <w:p>
            <w:pPr>
              <w:spacing w:after="0"/>
              <w:rPr>
                <w:sz w:val="23"/>
                <w:szCs w:val="23"/>
                <w:color w:val="auto"/>
              </w:rPr>
            </w:pP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573</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588</w:t>
            </w: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9"/>
        </w:trPr>
        <w:tc>
          <w:tcPr>
            <w:tcW w:w="6060" w:type="dxa"/>
            <w:vAlign w:val="bottom"/>
            <w:gridSpan w:val="3"/>
            <w:shd w:val="clear" w:color="auto" w:fill="CCEEFF"/>
          </w:tcPr>
          <w:p>
            <w:pPr>
              <w:ind w:left="20"/>
              <w:spacing w:after="0" w:line="189" w:lineRule="exact"/>
              <w:rPr>
                <w:sz w:val="20"/>
                <w:szCs w:val="20"/>
                <w:color w:val="auto"/>
              </w:rPr>
            </w:pPr>
            <w:r>
              <w:rPr>
                <w:rFonts w:ascii="Arial" w:cs="Arial" w:eastAsia="Arial" w:hAnsi="Arial"/>
                <w:sz w:val="17"/>
                <w:szCs w:val="17"/>
                <w:color w:val="auto"/>
              </w:rPr>
              <w:t>Adjustments:</w:t>
            </w:r>
          </w:p>
        </w:tc>
        <w:tc>
          <w:tcPr>
            <w:tcW w:w="10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6060" w:type="dxa"/>
            <w:vAlign w:val="bottom"/>
            <w:gridSpan w:val="3"/>
          </w:tcPr>
          <w:p>
            <w:pPr>
              <w:ind w:left="180"/>
              <w:spacing w:after="0"/>
              <w:rPr>
                <w:sz w:val="20"/>
                <w:szCs w:val="20"/>
                <w:color w:val="auto"/>
              </w:rPr>
            </w:pPr>
            <w:r>
              <w:rPr>
                <w:rFonts w:ascii="Arial" w:cs="Arial" w:eastAsia="Arial" w:hAnsi="Arial"/>
                <w:sz w:val="17"/>
                <w:szCs w:val="17"/>
                <w:color w:val="auto"/>
              </w:rPr>
              <w:t>Sustaining capital expenditures (including capitalized exploration)</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161</w:t>
            </w:r>
          </w:p>
        </w:tc>
        <w:tc>
          <w:tcPr>
            <w:tcW w:w="100" w:type="dxa"/>
            <w:vAlign w:val="bottom"/>
          </w:tcPr>
          <w:p>
            <w:pPr>
              <w:spacing w:after="0"/>
              <w:rPr>
                <w:sz w:val="18"/>
                <w:szCs w:val="18"/>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150</w:t>
            </w:r>
          </w:p>
        </w:tc>
        <w:tc>
          <w:tcPr>
            <w:tcW w:w="0" w:type="dxa"/>
            <w:vAlign w:val="bottom"/>
          </w:tcPr>
          <w:p>
            <w:pPr>
              <w:spacing w:after="0"/>
              <w:rPr>
                <w:sz w:val="1"/>
                <w:szCs w:val="1"/>
                <w:color w:val="auto"/>
              </w:rPr>
            </w:pPr>
          </w:p>
        </w:tc>
      </w:tr>
      <w:tr>
        <w:trPr>
          <w:trHeight w:val="210"/>
        </w:trPr>
        <w:tc>
          <w:tcPr>
            <w:tcW w:w="6060" w:type="dxa"/>
            <w:vAlign w:val="bottom"/>
            <w:gridSpan w:val="3"/>
            <w:shd w:val="clear" w:color="auto" w:fill="CCEEFF"/>
          </w:tcPr>
          <w:p>
            <w:pPr>
              <w:ind w:left="180"/>
              <w:spacing w:after="0"/>
              <w:rPr>
                <w:sz w:val="20"/>
                <w:szCs w:val="20"/>
                <w:color w:val="auto"/>
              </w:rPr>
            </w:pPr>
            <w:r>
              <w:rPr>
                <w:rFonts w:ascii="Arial" w:cs="Arial" w:eastAsia="Arial" w:hAnsi="Arial"/>
                <w:sz w:val="17"/>
                <w:szCs w:val="17"/>
                <w:color w:val="auto"/>
              </w:rPr>
              <w:t>General and administrative expenses (including stock options)</w:t>
            </w:r>
          </w:p>
        </w:tc>
        <w:tc>
          <w:tcPr>
            <w:tcW w:w="1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60</w:t>
            </w:r>
          </w:p>
        </w:tc>
        <w:tc>
          <w:tcPr>
            <w:tcW w:w="1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63</w:t>
            </w:r>
          </w:p>
        </w:tc>
        <w:tc>
          <w:tcPr>
            <w:tcW w:w="0" w:type="dxa"/>
            <w:vAlign w:val="bottom"/>
          </w:tcPr>
          <w:p>
            <w:pPr>
              <w:spacing w:after="0"/>
              <w:rPr>
                <w:sz w:val="1"/>
                <w:szCs w:val="1"/>
                <w:color w:val="auto"/>
              </w:rPr>
            </w:pPr>
          </w:p>
        </w:tc>
      </w:tr>
      <w:tr>
        <w:trPr>
          <w:trHeight w:val="216"/>
        </w:trPr>
        <w:tc>
          <w:tcPr>
            <w:tcW w:w="6060" w:type="dxa"/>
            <w:vAlign w:val="bottom"/>
            <w:gridSpan w:val="3"/>
          </w:tcPr>
          <w:p>
            <w:pPr>
              <w:ind w:left="180"/>
              <w:spacing w:after="0"/>
              <w:rPr>
                <w:sz w:val="20"/>
                <w:szCs w:val="20"/>
                <w:color w:val="auto"/>
              </w:rPr>
            </w:pPr>
            <w:r>
              <w:rPr>
                <w:rFonts w:ascii="Arial" w:cs="Arial" w:eastAsia="Arial" w:hAnsi="Arial"/>
                <w:sz w:val="17"/>
                <w:szCs w:val="17"/>
                <w:color w:val="auto"/>
              </w:rPr>
              <w:t>Non-cash reclamation provision and other</w:t>
            </w:r>
          </w:p>
        </w:tc>
        <w:tc>
          <w:tcPr>
            <w:tcW w:w="100" w:type="dxa"/>
            <w:vAlign w:val="bottom"/>
          </w:tcPr>
          <w:p>
            <w:pPr>
              <w:spacing w:after="0"/>
              <w:rPr>
                <w:sz w:val="18"/>
                <w:szCs w:val="18"/>
                <w:color w:val="auto"/>
              </w:rPr>
            </w:pPr>
          </w:p>
        </w:tc>
        <w:tc>
          <w:tcPr>
            <w:tcW w:w="1440" w:type="dxa"/>
            <w:vAlign w:val="bottom"/>
            <w:gridSpan w:val="2"/>
          </w:tcPr>
          <w:p>
            <w:pPr>
              <w:jc w:val="right"/>
              <w:ind w:right="160"/>
              <w:spacing w:after="0"/>
              <w:rPr>
                <w:sz w:val="20"/>
                <w:szCs w:val="20"/>
                <w:color w:val="auto"/>
              </w:rPr>
            </w:pPr>
            <w:r>
              <w:rPr>
                <w:rFonts w:ascii="Arial" w:cs="Arial" w:eastAsia="Arial" w:hAnsi="Arial"/>
                <w:sz w:val="17"/>
                <w:szCs w:val="17"/>
                <w:color w:val="auto"/>
              </w:rPr>
              <w:t>3</w:t>
            </w:r>
          </w:p>
        </w:tc>
        <w:tc>
          <w:tcPr>
            <w:tcW w:w="100" w:type="dxa"/>
            <w:vAlign w:val="bottom"/>
          </w:tcPr>
          <w:p>
            <w:pPr>
              <w:spacing w:after="0"/>
              <w:rPr>
                <w:sz w:val="18"/>
                <w:szCs w:val="18"/>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7"/>
                <w:szCs w:val="17"/>
                <w:color w:val="auto"/>
              </w:rPr>
              <w:t>3</w:t>
            </w: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606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All-in sustaining costs per ounce of gold produced (by-product basis)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797</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804</w:t>
            </w:r>
          </w:p>
        </w:tc>
        <w:tc>
          <w:tcPr>
            <w:tcW w:w="0" w:type="dxa"/>
            <w:vAlign w:val="bottom"/>
          </w:tcPr>
          <w:p>
            <w:pPr>
              <w:spacing w:after="0"/>
              <w:rPr>
                <w:sz w:val="1"/>
                <w:szCs w:val="1"/>
                <w:color w:val="auto"/>
              </w:rPr>
            </w:pPr>
          </w:p>
        </w:tc>
      </w:tr>
      <w:tr>
        <w:trPr>
          <w:trHeight w:val="26"/>
        </w:trPr>
        <w:tc>
          <w:tcPr>
            <w:tcW w:w="6060" w:type="dxa"/>
            <w:vAlign w:val="bottom"/>
            <w:gridSpan w:val="3"/>
            <w:vMerge w:val="restart"/>
          </w:tcPr>
          <w:p>
            <w:pPr>
              <w:ind w:left="180"/>
              <w:spacing w:after="0"/>
              <w:rPr>
                <w:sz w:val="20"/>
                <w:szCs w:val="20"/>
                <w:color w:val="auto"/>
              </w:rPr>
            </w:pPr>
            <w:r>
              <w:rPr>
                <w:rFonts w:ascii="Arial" w:cs="Arial" w:eastAsia="Arial" w:hAnsi="Arial"/>
                <w:sz w:val="17"/>
                <w:szCs w:val="17"/>
                <w:color w:val="auto"/>
              </w:rPr>
              <w:t>By-product metal revenues</w:t>
            </w: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060" w:type="dxa"/>
            <w:vAlign w:val="bottom"/>
            <w:gridSpan w:val="3"/>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6060" w:type="dxa"/>
            <w:vAlign w:val="bottom"/>
            <w:gridSpan w:val="3"/>
            <w:vMerge w:val="continue"/>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58</w:t>
            </w:r>
          </w:p>
        </w:tc>
        <w:tc>
          <w:tcPr>
            <w:tcW w:w="160" w:type="dxa"/>
            <w:vAlign w:val="bottom"/>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63</w:t>
            </w: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606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All-in sustaining costs per ounce of gold produced (co-product basis)</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855</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867</w:t>
            </w: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2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
        </w:trPr>
        <w:tc>
          <w:tcPr>
            <w:tcW w:w="1140" w:type="dxa"/>
            <w:vAlign w:val="bottom"/>
            <w:tcBorders>
              <w:bottom w:val="single" w:sz="8" w:color="auto"/>
            </w:tcBorders>
          </w:tcPr>
          <w:p>
            <w:pPr>
              <w:spacing w:after="0"/>
              <w:rPr>
                <w:sz w:val="7"/>
                <w:szCs w:val="7"/>
                <w:color w:val="auto"/>
              </w:rPr>
            </w:pPr>
          </w:p>
        </w:tc>
        <w:tc>
          <w:tcPr>
            <w:tcW w:w="3220" w:type="dxa"/>
            <w:vAlign w:val="bottom"/>
          </w:tcPr>
          <w:p>
            <w:pPr>
              <w:spacing w:after="0"/>
              <w:rPr>
                <w:sz w:val="7"/>
                <w:szCs w:val="7"/>
                <w:color w:val="auto"/>
              </w:rPr>
            </w:pPr>
          </w:p>
        </w:tc>
        <w:tc>
          <w:tcPr>
            <w:tcW w:w="17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80" w:type="dxa"/>
            <w:vAlign w:val="bottom"/>
          </w:tcPr>
          <w:p>
            <w:pPr>
              <w:spacing w:after="0"/>
              <w:rPr>
                <w:sz w:val="7"/>
                <w:szCs w:val="7"/>
                <w:color w:val="auto"/>
              </w:rPr>
            </w:pPr>
          </w:p>
        </w:tc>
        <w:tc>
          <w:tcPr>
            <w:tcW w:w="1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left="1140"/>
        <w:spacing w:after="0"/>
        <w:rPr>
          <w:sz w:val="20"/>
          <w:szCs w:val="20"/>
          <w:color w:val="auto"/>
        </w:rPr>
      </w:pPr>
      <w:r>
        <w:rPr>
          <w:rFonts w:ascii="Arial" w:cs="Arial" w:eastAsia="Arial" w:hAnsi="Arial"/>
          <w:sz w:val="17"/>
          <w:szCs w:val="17"/>
          <w:color w:val="auto"/>
        </w:rPr>
        <w:t>Notes:</w:t>
      </w:r>
    </w:p>
    <w:p>
      <w:pPr>
        <w:spacing w:after="0" w:line="237" w:lineRule="exact"/>
        <w:rPr>
          <w:sz w:val="20"/>
          <w:szCs w:val="20"/>
          <w:color w:val="auto"/>
        </w:rPr>
      </w:pPr>
    </w:p>
    <w:p>
      <w:pPr>
        <w:jc w:val="both"/>
        <w:ind w:left="1680" w:hanging="533"/>
        <w:spacing w:after="0" w:line="270" w:lineRule="auto"/>
        <w:tabs>
          <w:tab w:leader="none" w:pos="1680" w:val="left"/>
        </w:tabs>
        <w:numPr>
          <w:ilvl w:val="0"/>
          <w:numId w:val="4"/>
        </w:numPr>
        <w:rPr>
          <w:rFonts w:ascii="Arial" w:cs="Arial" w:eastAsia="Arial" w:hAnsi="Arial"/>
          <w:sz w:val="17"/>
          <w:szCs w:val="17"/>
          <w:color w:val="auto"/>
        </w:rPr>
      </w:pPr>
      <w:r>
        <w:rPr>
          <w:rFonts w:ascii="Arial" w:cs="Arial" w:eastAsia="Arial" w:hAnsi="Arial"/>
          <w:sz w:val="17"/>
          <w:szCs w:val="17"/>
          <w:color w:val="auto"/>
        </w:rPr>
        <w:t>Under the Company's revenue recognition policy, revenue is recognized on concentrates when legal title and risk is transferred. As total cash costs per ounce of gold produced are calculated on a production basis, this inventory adjustment reflects the sales margin on the portion of concentrate production not yet recognized as revenue.</w:t>
      </w:r>
    </w:p>
    <w:p>
      <w:pPr>
        <w:spacing w:after="0" w:line="205" w:lineRule="exact"/>
        <w:rPr>
          <w:rFonts w:ascii="Arial" w:cs="Arial" w:eastAsia="Arial" w:hAnsi="Arial"/>
          <w:sz w:val="17"/>
          <w:szCs w:val="17"/>
          <w:color w:val="auto"/>
        </w:rPr>
      </w:pPr>
    </w:p>
    <w:p>
      <w:pPr>
        <w:jc w:val="both"/>
        <w:ind w:left="1680" w:hanging="533"/>
        <w:spacing w:after="0" w:line="295" w:lineRule="auto"/>
        <w:tabs>
          <w:tab w:leader="none" w:pos="1680" w:val="left"/>
        </w:tabs>
        <w:numPr>
          <w:ilvl w:val="0"/>
          <w:numId w:val="4"/>
        </w:numPr>
        <w:rPr>
          <w:rFonts w:ascii="Arial" w:cs="Arial" w:eastAsia="Arial" w:hAnsi="Arial"/>
          <w:sz w:val="15"/>
          <w:szCs w:val="15"/>
          <w:color w:val="auto"/>
        </w:rPr>
      </w:pPr>
      <w:r>
        <w:rPr>
          <w:rFonts w:ascii="Arial" w:cs="Arial" w:eastAsia="Arial" w:hAnsi="Arial"/>
          <w:sz w:val="15"/>
          <w:szCs w:val="15"/>
          <w:color w:val="auto"/>
        </w:rPr>
        <w:t>Total cash costs per ounce of gold produced is not a recognized measure under IFRS and this data may not be comparable to data reported by other gold producers. Total cash costs per ounce of gold produced is reported on both a by-product basis (deducting by-product metal revenues from production costs) and co-product basis (before by-product metal revenues). Total cash costs per ounce of gold produced on a by-product basis is calculated by adjusting production costs as recorded in the condensed interim consolidated statements of income and comprehensive income for by-product metal revenues, unsold concentrate inventory production costs, smelting, refining and marketing charges and other adjustments, and then dividing by the number of ounces of gold produced. Total cash costs per ounce of gold produced on a co-product basis is calculated in the same manner as total cash costs per ounce of gold produced on a by-product basis except that no adjustment for by-product metal revenues is made. Accordingly, the calculation of total cash costs per ounce of gold produced on a co-product basis does not reflect a reduction in production costs or smelting, refining and marketing charges associated with the production and sale of by-product metals. The Company believes that these generally accepted industry measures provide a realistic indication of operating performance and provide useful comparison points between periods. Total cash costs per ounce of gold produced is intended to provide information about the cash generating capabilities of the Company's mining operations. Management also uses these measures to monitor the performance of the Company's mining operations. As market prices for gold are quoted on a per ounce basis, using the total cash costs per ounce of gold produced on a by-product basis measure allows management to assess a mine's cash generating capabilities at various gold prices. Management is aware that these per ounce measures of performance can be affected by fluctuations in exchange rates and, in the case of total cash costs of gold produced on a by-product basis, by-product metal prices. Management compensates for these inherent limitations by using these measures in conjunction with minesite costs per tonne as well as other data prepared in accordance with IFRS. Management also performs sensitivity analyses in order to quantify the effects of fluctuating metal prices and exchange rates.</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4" w:name="page25"/>
    <w:bookmarkEnd w:id="24"/>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SUMMARY OF OPERATIONS KEY PERFORMANCE INDICATORS</w:t>
      </w:r>
    </w:p>
    <w:p>
      <w:pPr>
        <w:spacing w:after="0" w:line="14"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(thousands of United States dollars, except where noted)</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4120" w:type="dxa"/>
            <w:vAlign w:val="bottom"/>
          </w:tcPr>
          <w:p>
            <w:pPr>
              <w:spacing w:after="0"/>
              <w:rPr>
                <w:sz w:val="13"/>
                <w:szCs w:val="13"/>
                <w:color w:val="auto"/>
              </w:rPr>
            </w:pPr>
          </w:p>
        </w:tc>
        <w:tc>
          <w:tcPr>
            <w:tcW w:w="30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960" w:type="dxa"/>
            <w:vAlign w:val="bottom"/>
            <w:gridSpan w:val="6"/>
          </w:tcPr>
          <w:p>
            <w:pPr>
              <w:ind w:left="160"/>
              <w:spacing w:after="0"/>
              <w:rPr>
                <w:sz w:val="20"/>
                <w:szCs w:val="20"/>
                <w:color w:val="auto"/>
              </w:rPr>
            </w:pPr>
            <w:r>
              <w:rPr>
                <w:rFonts w:ascii="Arial" w:cs="Arial" w:eastAsia="Arial" w:hAnsi="Arial"/>
                <w:sz w:val="13"/>
                <w:szCs w:val="13"/>
                <w:b w:val="1"/>
                <w:bCs w:val="1"/>
                <w:color w:val="auto"/>
              </w:rPr>
              <w:t>Three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4120" w:type="dxa"/>
            <w:vAlign w:val="bottom"/>
          </w:tcPr>
          <w:p>
            <w:pPr>
              <w:spacing w:after="0"/>
              <w:rPr>
                <w:sz w:val="13"/>
                <w:szCs w:val="13"/>
                <w:color w:val="auto"/>
              </w:rPr>
            </w:pPr>
          </w:p>
        </w:tc>
        <w:tc>
          <w:tcPr>
            <w:tcW w:w="304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04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March 31,</w:t>
            </w:r>
          </w:p>
        </w:tc>
        <w:tc>
          <w:tcPr>
            <w:tcW w:w="62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1140" w:type="dxa"/>
            <w:vAlign w:val="bottom"/>
          </w:tcPr>
          <w:p>
            <w:pPr>
              <w:spacing w:after="0"/>
              <w:rPr>
                <w:sz w:val="11"/>
                <w:szCs w:val="11"/>
                <w:color w:val="auto"/>
              </w:rPr>
            </w:pPr>
          </w:p>
        </w:tc>
        <w:tc>
          <w:tcPr>
            <w:tcW w:w="4120" w:type="dxa"/>
            <w:vAlign w:val="bottom"/>
          </w:tcPr>
          <w:p>
            <w:pPr>
              <w:spacing w:after="0"/>
              <w:rPr>
                <w:sz w:val="11"/>
                <w:szCs w:val="11"/>
                <w:color w:val="auto"/>
              </w:rPr>
            </w:pPr>
          </w:p>
        </w:tc>
        <w:tc>
          <w:tcPr>
            <w:tcW w:w="3040" w:type="dxa"/>
            <w:vAlign w:val="bottom"/>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jc w:val="right"/>
              <w:ind w:right="176"/>
              <w:spacing w:after="0" w:line="138" w:lineRule="exact"/>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jc w:val="right"/>
              <w:ind w:right="195"/>
              <w:spacing w:after="0" w:line="138" w:lineRule="exact"/>
              <w:rPr>
                <w:sz w:val="20"/>
                <w:szCs w:val="20"/>
                <w:color w:val="auto"/>
              </w:rPr>
            </w:pPr>
            <w:r>
              <w:rPr>
                <w:rFonts w:ascii="Arial" w:cs="Arial" w:eastAsia="Arial" w:hAnsi="Arial"/>
                <w:sz w:val="13"/>
                <w:szCs w:val="13"/>
                <w:b w:val="1"/>
                <w:bCs w:val="1"/>
                <w:color w:val="auto"/>
              </w:rPr>
              <w:t>2015</w:t>
            </w:r>
          </w:p>
        </w:tc>
        <w:tc>
          <w:tcPr>
            <w:tcW w:w="1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42"/>
        </w:trPr>
        <w:tc>
          <w:tcPr>
            <w:tcW w:w="1140" w:type="dxa"/>
            <w:vAlign w:val="bottom"/>
          </w:tcPr>
          <w:p>
            <w:pPr>
              <w:spacing w:after="0"/>
              <w:rPr>
                <w:sz w:val="21"/>
                <w:szCs w:val="21"/>
                <w:color w:val="auto"/>
              </w:rPr>
            </w:pPr>
          </w:p>
        </w:tc>
        <w:tc>
          <w:tcPr>
            <w:tcW w:w="4120" w:type="dxa"/>
            <w:vAlign w:val="bottom"/>
            <w:shd w:val="clear" w:color="auto" w:fill="CCEEFF"/>
          </w:tcPr>
          <w:p>
            <w:pPr>
              <w:ind w:left="20"/>
              <w:spacing w:after="0" w:line="242" w:lineRule="exact"/>
              <w:rPr>
                <w:sz w:val="20"/>
                <w:szCs w:val="20"/>
                <w:color w:val="auto"/>
              </w:rPr>
            </w:pPr>
            <w:r>
              <w:rPr>
                <w:rFonts w:ascii="Arial" w:cs="Arial" w:eastAsia="Arial" w:hAnsi="Arial"/>
                <w:sz w:val="17"/>
                <w:szCs w:val="17"/>
                <w:b w:val="1"/>
                <w:bCs w:val="1"/>
                <w:color w:val="auto"/>
              </w:rPr>
              <w:t>Operating margin</w:t>
            </w:r>
            <w:r>
              <w:rPr>
                <w:rFonts w:ascii="Arial" w:cs="Arial" w:eastAsia="Arial" w:hAnsi="Arial"/>
                <w:sz w:val="28"/>
                <w:szCs w:val="28"/>
                <w:b w:val="1"/>
                <w:bCs w:val="1"/>
                <w:color w:val="auto"/>
                <w:vertAlign w:val="superscript"/>
              </w:rPr>
              <w:t>(i)</w:t>
            </w:r>
            <w:r>
              <w:rPr>
                <w:rFonts w:ascii="Arial" w:cs="Arial" w:eastAsia="Arial" w:hAnsi="Arial"/>
                <w:sz w:val="17"/>
                <w:szCs w:val="17"/>
                <w:b w:val="1"/>
                <w:bCs w:val="1"/>
                <w:color w:val="auto"/>
              </w:rPr>
              <w:t xml:space="preserve"> by mine:</w:t>
            </w:r>
          </w:p>
        </w:tc>
        <w:tc>
          <w:tcPr>
            <w:tcW w:w="304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Northern Business</w:t>
            </w:r>
          </w:p>
        </w:tc>
        <w:tc>
          <w:tcPr>
            <w:tcW w:w="3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LaRonde mine</w:t>
            </w:r>
          </w:p>
        </w:tc>
        <w:tc>
          <w:tcPr>
            <w:tcW w:w="320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48,055</w:t>
            </w:r>
          </w:p>
        </w:tc>
        <w:tc>
          <w:tcPr>
            <w:tcW w:w="220" w:type="dxa"/>
            <w:vAlign w:val="bottom"/>
            <w:shd w:val="clear" w:color="auto" w:fill="CCEEFF"/>
          </w:tcPr>
          <w:p>
            <w:pPr>
              <w:jc w:val="right"/>
              <w:ind w:right="35"/>
              <w:spacing w:after="0"/>
              <w:rPr>
                <w:sz w:val="20"/>
                <w:szCs w:val="20"/>
                <w:color w:val="auto"/>
              </w:rPr>
            </w:pPr>
            <w:r>
              <w:rPr>
                <w:rFonts w:ascii="Arial" w:cs="Arial" w:eastAsia="Arial" w:hAnsi="Arial"/>
                <w:sz w:val="17"/>
                <w:szCs w:val="17"/>
                <w:color w:val="auto"/>
                <w:w w:val="84"/>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30,015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180"/>
              <w:spacing w:after="0"/>
              <w:rPr>
                <w:sz w:val="20"/>
                <w:szCs w:val="20"/>
                <w:color w:val="auto"/>
              </w:rPr>
            </w:pPr>
            <w:r>
              <w:rPr>
                <w:rFonts w:ascii="Arial" w:cs="Arial" w:eastAsia="Arial" w:hAnsi="Arial"/>
                <w:sz w:val="17"/>
                <w:szCs w:val="17"/>
                <w:color w:val="auto"/>
              </w:rPr>
              <w:t>Lapa mine</w:t>
            </w:r>
          </w:p>
        </w:tc>
        <w:tc>
          <w:tcPr>
            <w:tcW w:w="3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10,806</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14,687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Goldex mine</w:t>
            </w:r>
          </w:p>
        </w:tc>
        <w:tc>
          <w:tcPr>
            <w:tcW w:w="30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22,184</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19,253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180"/>
              <w:spacing w:after="0"/>
              <w:rPr>
                <w:sz w:val="20"/>
                <w:szCs w:val="20"/>
                <w:color w:val="auto"/>
              </w:rPr>
            </w:pPr>
            <w:r>
              <w:rPr>
                <w:rFonts w:ascii="Arial" w:cs="Arial" w:eastAsia="Arial" w:hAnsi="Arial"/>
                <w:sz w:val="17"/>
                <w:szCs w:val="17"/>
                <w:color w:val="auto"/>
              </w:rPr>
              <w:t>Meadowbank mine</w:t>
            </w:r>
          </w:p>
        </w:tc>
        <w:tc>
          <w:tcPr>
            <w:tcW w:w="3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33,329</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46,577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4120" w:type="dxa"/>
            <w:vAlign w:val="bottom"/>
            <w:shd w:val="clear" w:color="auto" w:fill="CCEEFF"/>
          </w:tcPr>
          <w:p>
            <w:pPr>
              <w:ind w:left="18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w:t>
            </w:r>
          </w:p>
        </w:tc>
        <w:tc>
          <w:tcPr>
            <w:tcW w:w="304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41,740</w:t>
            </w:r>
          </w:p>
        </w:tc>
        <w:tc>
          <w:tcPr>
            <w:tcW w:w="220" w:type="dxa"/>
            <w:vAlign w:val="bottom"/>
            <w:shd w:val="clear" w:color="auto" w:fill="CCEEFF"/>
          </w:tcPr>
          <w:p>
            <w:pPr>
              <w:spacing w:after="0"/>
              <w:rPr>
                <w:sz w:val="21"/>
                <w:szCs w:val="21"/>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34,718</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180"/>
              <w:spacing w:after="0"/>
              <w:rPr>
                <w:sz w:val="20"/>
                <w:szCs w:val="20"/>
                <w:color w:val="auto"/>
              </w:rPr>
            </w:pPr>
            <w:r>
              <w:rPr>
                <w:rFonts w:ascii="Arial" w:cs="Arial" w:eastAsia="Arial" w:hAnsi="Arial"/>
                <w:sz w:val="17"/>
                <w:szCs w:val="17"/>
                <w:color w:val="auto"/>
              </w:rPr>
              <w:t>Kittila mine</w:t>
            </w:r>
          </w:p>
        </w:tc>
        <w:tc>
          <w:tcPr>
            <w:tcW w:w="3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24,086</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27,415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Southern Business</w:t>
            </w:r>
          </w:p>
        </w:tc>
        <w:tc>
          <w:tcPr>
            <w:tcW w:w="30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180"/>
              <w:spacing w:after="0"/>
              <w:rPr>
                <w:sz w:val="20"/>
                <w:szCs w:val="20"/>
                <w:color w:val="auto"/>
              </w:rPr>
            </w:pPr>
            <w:r>
              <w:rPr>
                <w:rFonts w:ascii="Arial" w:cs="Arial" w:eastAsia="Arial" w:hAnsi="Arial"/>
                <w:sz w:val="17"/>
                <w:szCs w:val="17"/>
                <w:color w:val="auto"/>
              </w:rPr>
              <w:t>Pinos Altos mine</w:t>
            </w:r>
          </w:p>
        </w:tc>
        <w:tc>
          <w:tcPr>
            <w:tcW w:w="3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35,820</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34,652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Creston Mascota deposit at Pinos Altos</w:t>
            </w:r>
          </w:p>
        </w:tc>
        <w:tc>
          <w:tcPr>
            <w:tcW w:w="30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8,989</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8,409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4120" w:type="dxa"/>
            <w:vAlign w:val="bottom"/>
          </w:tcPr>
          <w:p>
            <w:pPr>
              <w:ind w:left="180"/>
              <w:spacing w:after="0"/>
              <w:rPr>
                <w:sz w:val="20"/>
                <w:szCs w:val="20"/>
                <w:color w:val="auto"/>
              </w:rPr>
            </w:pPr>
            <w:r>
              <w:rPr>
                <w:rFonts w:ascii="Arial" w:cs="Arial" w:eastAsia="Arial" w:hAnsi="Arial"/>
                <w:sz w:val="17"/>
                <w:szCs w:val="17"/>
                <w:color w:val="auto"/>
              </w:rPr>
              <w:t>La India mine</w:t>
            </w:r>
          </w:p>
        </w:tc>
        <w:tc>
          <w:tcPr>
            <w:tcW w:w="3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21,549</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20,590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30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2"/>
        </w:trPr>
        <w:tc>
          <w:tcPr>
            <w:tcW w:w="1140" w:type="dxa"/>
            <w:vAlign w:val="bottom"/>
          </w:tcPr>
          <w:p>
            <w:pPr>
              <w:spacing w:after="0"/>
              <w:rPr>
                <w:sz w:val="21"/>
                <w:szCs w:val="21"/>
                <w:color w:val="auto"/>
              </w:rPr>
            </w:pPr>
          </w:p>
        </w:tc>
        <w:tc>
          <w:tcPr>
            <w:tcW w:w="4120" w:type="dxa"/>
            <w:vAlign w:val="bottom"/>
            <w:shd w:val="clear" w:color="auto" w:fill="CCEEFF"/>
          </w:tcPr>
          <w:p>
            <w:pPr>
              <w:ind w:left="20"/>
              <w:spacing w:after="0" w:line="242" w:lineRule="exact"/>
              <w:rPr>
                <w:sz w:val="20"/>
                <w:szCs w:val="20"/>
                <w:color w:val="auto"/>
              </w:rPr>
            </w:pPr>
            <w:r>
              <w:rPr>
                <w:rFonts w:ascii="Arial" w:cs="Arial" w:eastAsia="Arial" w:hAnsi="Arial"/>
                <w:sz w:val="17"/>
                <w:szCs w:val="17"/>
                <w:color w:val="auto"/>
              </w:rPr>
              <w:t>Total operating margin</w:t>
            </w:r>
            <w:r>
              <w:rPr>
                <w:rFonts w:ascii="Arial" w:cs="Arial" w:eastAsia="Arial" w:hAnsi="Arial"/>
                <w:sz w:val="28"/>
                <w:szCs w:val="28"/>
                <w:color w:val="auto"/>
                <w:vertAlign w:val="superscript"/>
              </w:rPr>
              <w:t>(i)</w:t>
            </w:r>
          </w:p>
        </w:tc>
        <w:tc>
          <w:tcPr>
            <w:tcW w:w="304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246,558</w:t>
            </w:r>
          </w:p>
        </w:tc>
        <w:tc>
          <w:tcPr>
            <w:tcW w:w="220" w:type="dxa"/>
            <w:vAlign w:val="bottom"/>
            <w:shd w:val="clear" w:color="auto" w:fill="CCEEFF"/>
          </w:tcPr>
          <w:p>
            <w:pPr>
              <w:spacing w:after="0"/>
              <w:rPr>
                <w:sz w:val="21"/>
                <w:szCs w:val="21"/>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7"/>
              </w:rPr>
              <w:t>236,316</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Amortization of property, plant and mine development</w:t>
            </w:r>
          </w:p>
        </w:tc>
        <w:tc>
          <w:tcPr>
            <w:tcW w:w="3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145,631</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w w:val="97"/>
              </w:rPr>
              <w:t>135,897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Exploration, corporate and other</w:t>
            </w:r>
          </w:p>
        </w:tc>
        <w:tc>
          <w:tcPr>
            <w:tcW w:w="30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73,730</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43,706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120" w:type="dxa"/>
            <w:vAlign w:val="bottom"/>
            <w:vMerge w:val="restart"/>
          </w:tcPr>
          <w:p>
            <w:pPr>
              <w:ind w:left="20"/>
              <w:spacing w:after="0"/>
              <w:rPr>
                <w:sz w:val="20"/>
                <w:szCs w:val="20"/>
                <w:color w:val="auto"/>
              </w:rPr>
            </w:pPr>
            <w:r>
              <w:rPr>
                <w:rFonts w:ascii="Arial" w:cs="Arial" w:eastAsia="Arial" w:hAnsi="Arial"/>
                <w:sz w:val="17"/>
                <w:szCs w:val="17"/>
                <w:color w:val="auto"/>
              </w:rPr>
              <w:t>Income before income and mining taxes</w:t>
            </w:r>
          </w:p>
        </w:tc>
        <w:tc>
          <w:tcPr>
            <w:tcW w:w="3040" w:type="dxa"/>
            <w:vAlign w:val="bottom"/>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120" w:type="dxa"/>
            <w:vAlign w:val="bottom"/>
            <w:vMerge w:val="continue"/>
          </w:tcPr>
          <w:p>
            <w:pPr>
              <w:spacing w:after="0"/>
              <w:rPr>
                <w:sz w:val="17"/>
                <w:szCs w:val="17"/>
                <w:color w:val="auto"/>
              </w:rPr>
            </w:pPr>
          </w:p>
        </w:tc>
        <w:tc>
          <w:tcPr>
            <w:tcW w:w="304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27,197</w:t>
            </w:r>
          </w:p>
        </w:tc>
        <w:tc>
          <w:tcPr>
            <w:tcW w:w="16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56,713</w:t>
            </w: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Income and mining taxes (recovery) expense</w:t>
            </w:r>
          </w:p>
        </w:tc>
        <w:tc>
          <w:tcPr>
            <w:tcW w:w="30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(591)</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27,970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120" w:type="dxa"/>
            <w:vAlign w:val="bottom"/>
            <w:vMerge w:val="restart"/>
          </w:tcPr>
          <w:p>
            <w:pPr>
              <w:ind w:left="20"/>
              <w:spacing w:after="0"/>
              <w:rPr>
                <w:sz w:val="20"/>
                <w:szCs w:val="20"/>
                <w:color w:val="auto"/>
              </w:rPr>
            </w:pPr>
            <w:r>
              <w:rPr>
                <w:rFonts w:ascii="Arial" w:cs="Arial" w:eastAsia="Arial" w:hAnsi="Arial"/>
                <w:sz w:val="17"/>
                <w:szCs w:val="17"/>
                <w:color w:val="auto"/>
              </w:rPr>
              <w:t>Net income for the period</w:t>
            </w:r>
          </w:p>
        </w:tc>
        <w:tc>
          <w:tcPr>
            <w:tcW w:w="3200" w:type="dxa"/>
            <w:vAlign w:val="bottom"/>
            <w:gridSpan w:val="2"/>
          </w:tcPr>
          <w:p>
            <w:pPr>
              <w:spacing w:after="0"/>
              <w:rPr>
                <w:sz w:val="2"/>
                <w:szCs w:val="2"/>
                <w:color w:val="auto"/>
              </w:rPr>
            </w:pPr>
          </w:p>
        </w:tc>
        <w:tc>
          <w:tcPr>
            <w:tcW w:w="82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1140" w:type="dxa"/>
            <w:vAlign w:val="bottom"/>
          </w:tcPr>
          <w:p>
            <w:pPr>
              <w:spacing w:after="0"/>
              <w:rPr>
                <w:sz w:val="18"/>
                <w:szCs w:val="18"/>
                <w:color w:val="auto"/>
              </w:rPr>
            </w:pPr>
          </w:p>
        </w:tc>
        <w:tc>
          <w:tcPr>
            <w:tcW w:w="4120" w:type="dxa"/>
            <w:vAlign w:val="bottom"/>
            <w:vMerge w:val="continue"/>
          </w:tcPr>
          <w:p>
            <w:pPr>
              <w:spacing w:after="0"/>
              <w:rPr>
                <w:sz w:val="18"/>
                <w:szCs w:val="18"/>
                <w:color w:val="auto"/>
              </w:rPr>
            </w:pPr>
          </w:p>
        </w:tc>
        <w:tc>
          <w:tcPr>
            <w:tcW w:w="304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27,788</w:t>
            </w:r>
          </w:p>
        </w:tc>
        <w:tc>
          <w:tcPr>
            <w:tcW w:w="160" w:type="dxa"/>
            <w:vAlign w:val="bottom"/>
          </w:tcPr>
          <w:p>
            <w:pPr>
              <w:spacing w:after="0"/>
              <w:rPr>
                <w:sz w:val="18"/>
                <w:szCs w:val="18"/>
                <w:color w:val="auto"/>
              </w:rPr>
            </w:pPr>
          </w:p>
        </w:tc>
        <w:tc>
          <w:tcPr>
            <w:tcW w:w="220" w:type="dxa"/>
            <w:vAlign w:val="bottom"/>
            <w:tcBorders>
              <w:top w:val="single" w:sz="8" w:color="auto"/>
            </w:tcBorders>
          </w:tcPr>
          <w:p>
            <w:pPr>
              <w:jc w:val="right"/>
              <w:ind w:right="35"/>
              <w:spacing w:after="0"/>
              <w:rPr>
                <w:sz w:val="20"/>
                <w:szCs w:val="20"/>
                <w:color w:val="auto"/>
              </w:rPr>
            </w:pPr>
            <w:r>
              <w:rPr>
                <w:rFonts w:ascii="Arial" w:cs="Arial" w:eastAsia="Arial" w:hAnsi="Arial"/>
                <w:sz w:val="17"/>
                <w:szCs w:val="17"/>
                <w:color w:val="auto"/>
                <w:w w:val="84"/>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28,743</w:t>
            </w: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30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30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9"/>
        </w:trPr>
        <w:tc>
          <w:tcPr>
            <w:tcW w:w="1140" w:type="dxa"/>
            <w:vAlign w:val="bottom"/>
          </w:tcPr>
          <w:p>
            <w:pPr>
              <w:spacing w:after="0"/>
              <w:rPr>
                <w:sz w:val="16"/>
                <w:szCs w:val="16"/>
                <w:color w:val="auto"/>
              </w:rPr>
            </w:pPr>
          </w:p>
        </w:tc>
        <w:tc>
          <w:tcPr>
            <w:tcW w:w="4120" w:type="dxa"/>
            <w:vAlign w:val="bottom"/>
            <w:shd w:val="clear" w:color="auto" w:fill="CCEEFF"/>
          </w:tcPr>
          <w:p>
            <w:pPr>
              <w:ind w:left="20"/>
              <w:spacing w:after="0" w:line="189" w:lineRule="exact"/>
              <w:rPr>
                <w:sz w:val="20"/>
                <w:szCs w:val="20"/>
                <w:color w:val="auto"/>
              </w:rPr>
            </w:pPr>
            <w:r>
              <w:rPr>
                <w:rFonts w:ascii="Arial" w:cs="Arial" w:eastAsia="Arial" w:hAnsi="Arial"/>
                <w:sz w:val="17"/>
                <w:szCs w:val="17"/>
                <w:color w:val="auto"/>
              </w:rPr>
              <w:t>Net income per share — basic (US$)</w:t>
            </w:r>
          </w:p>
        </w:tc>
        <w:tc>
          <w:tcPr>
            <w:tcW w:w="3200" w:type="dxa"/>
            <w:vAlign w:val="bottom"/>
            <w:gridSpan w:val="2"/>
            <w:shd w:val="clear" w:color="auto" w:fill="CCEEFF"/>
          </w:tcPr>
          <w:p>
            <w:pPr>
              <w:jc w:val="right"/>
              <w:spacing w:after="0" w:line="189" w:lineRule="exact"/>
              <w:rPr>
                <w:sz w:val="20"/>
                <w:szCs w:val="20"/>
                <w:color w:val="auto"/>
              </w:rPr>
            </w:pPr>
            <w:r>
              <w:rPr>
                <w:rFonts w:ascii="Arial" w:cs="Arial" w:eastAsia="Arial" w:hAnsi="Arial"/>
                <w:sz w:val="17"/>
                <w:szCs w:val="17"/>
                <w:color w:val="auto"/>
              </w:rPr>
              <w:t>$</w:t>
            </w:r>
          </w:p>
        </w:tc>
        <w:tc>
          <w:tcPr>
            <w:tcW w:w="820" w:type="dxa"/>
            <w:vAlign w:val="bottom"/>
            <w:gridSpan w:val="2"/>
            <w:shd w:val="clear" w:color="auto" w:fill="CCEEFF"/>
          </w:tcPr>
          <w:p>
            <w:pPr>
              <w:jc w:val="right"/>
              <w:ind w:right="140"/>
              <w:spacing w:after="0" w:line="189" w:lineRule="exact"/>
              <w:rPr>
                <w:sz w:val="20"/>
                <w:szCs w:val="20"/>
                <w:color w:val="auto"/>
              </w:rPr>
            </w:pPr>
            <w:r>
              <w:rPr>
                <w:rFonts w:ascii="Arial" w:cs="Arial" w:eastAsia="Arial" w:hAnsi="Arial"/>
                <w:sz w:val="17"/>
                <w:szCs w:val="17"/>
                <w:color w:val="auto"/>
              </w:rPr>
              <w:t>0.13</w:t>
            </w:r>
          </w:p>
        </w:tc>
        <w:tc>
          <w:tcPr>
            <w:tcW w:w="220" w:type="dxa"/>
            <w:vAlign w:val="bottom"/>
            <w:shd w:val="clear" w:color="auto" w:fill="CCEEFF"/>
          </w:tcPr>
          <w:p>
            <w:pPr>
              <w:jc w:val="right"/>
              <w:ind w:right="35"/>
              <w:spacing w:after="0" w:line="189" w:lineRule="exact"/>
              <w:rPr>
                <w:sz w:val="20"/>
                <w:szCs w:val="20"/>
                <w:color w:val="auto"/>
              </w:rPr>
            </w:pPr>
            <w:r>
              <w:rPr>
                <w:rFonts w:ascii="Arial" w:cs="Arial" w:eastAsia="Arial" w:hAnsi="Arial"/>
                <w:sz w:val="17"/>
                <w:szCs w:val="17"/>
                <w:color w:val="auto"/>
                <w:w w:val="84"/>
              </w:rPr>
              <w:t>$</w:t>
            </w:r>
          </w:p>
        </w:tc>
        <w:tc>
          <w:tcPr>
            <w:tcW w:w="760" w:type="dxa"/>
            <w:vAlign w:val="bottom"/>
            <w:gridSpan w:val="2"/>
            <w:shd w:val="clear" w:color="auto" w:fill="CCEEFF"/>
          </w:tcPr>
          <w:p>
            <w:pPr>
              <w:jc w:val="right"/>
              <w:ind w:right="140"/>
              <w:spacing w:after="0" w:line="189" w:lineRule="exact"/>
              <w:rPr>
                <w:sz w:val="20"/>
                <w:szCs w:val="20"/>
                <w:color w:val="auto"/>
              </w:rPr>
            </w:pPr>
            <w:r>
              <w:rPr>
                <w:rFonts w:ascii="Arial" w:cs="Arial" w:eastAsia="Arial" w:hAnsi="Arial"/>
                <w:sz w:val="17"/>
                <w:szCs w:val="17"/>
                <w:color w:val="auto"/>
              </w:rPr>
              <w:t>0.13</w:t>
            </w: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Net income per share — diluted (US$)</w:t>
            </w:r>
          </w:p>
        </w:tc>
        <w:tc>
          <w:tcPr>
            <w:tcW w:w="320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0.13</w:t>
            </w:r>
          </w:p>
        </w:tc>
        <w:tc>
          <w:tcPr>
            <w:tcW w:w="220" w:type="dxa"/>
            <w:vAlign w:val="bottom"/>
          </w:tcPr>
          <w:p>
            <w:pPr>
              <w:jc w:val="right"/>
              <w:ind w:right="35"/>
              <w:spacing w:after="0"/>
              <w:rPr>
                <w:sz w:val="20"/>
                <w:szCs w:val="20"/>
                <w:color w:val="auto"/>
              </w:rPr>
            </w:pPr>
            <w:r>
              <w:rPr>
                <w:rFonts w:ascii="Arial" w:cs="Arial" w:eastAsia="Arial" w:hAnsi="Arial"/>
                <w:sz w:val="17"/>
                <w:szCs w:val="17"/>
                <w:color w:val="auto"/>
                <w:w w:val="84"/>
              </w:rPr>
              <w:t>$</w:t>
            </w: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0.13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9"/>
        </w:trPr>
        <w:tc>
          <w:tcPr>
            <w:tcW w:w="1140" w:type="dxa"/>
            <w:vAlign w:val="bottom"/>
          </w:tcPr>
          <w:p>
            <w:pPr>
              <w:spacing w:after="0"/>
              <w:rPr>
                <w:sz w:val="24"/>
                <w:szCs w:val="24"/>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Cash flows:</w:t>
            </w:r>
          </w:p>
        </w:tc>
        <w:tc>
          <w:tcPr>
            <w:tcW w:w="30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Cash provided by operating activities</w:t>
            </w:r>
          </w:p>
        </w:tc>
        <w:tc>
          <w:tcPr>
            <w:tcW w:w="320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145,704</w:t>
            </w:r>
          </w:p>
        </w:tc>
        <w:tc>
          <w:tcPr>
            <w:tcW w:w="220" w:type="dxa"/>
            <w:vAlign w:val="bottom"/>
          </w:tcPr>
          <w:p>
            <w:pPr>
              <w:jc w:val="right"/>
              <w:ind w:right="35"/>
              <w:spacing w:after="0"/>
              <w:rPr>
                <w:sz w:val="20"/>
                <w:szCs w:val="20"/>
                <w:color w:val="auto"/>
              </w:rPr>
            </w:pPr>
            <w:r>
              <w:rPr>
                <w:rFonts w:ascii="Arial" w:cs="Arial" w:eastAsia="Arial" w:hAnsi="Arial"/>
                <w:sz w:val="17"/>
                <w:szCs w:val="17"/>
                <w:color w:val="auto"/>
                <w:w w:val="84"/>
              </w:rPr>
              <w:t>$</w:t>
            </w: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w w:val="97"/>
              </w:rPr>
              <w:t>143,455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 used in investing activities</w:t>
            </w:r>
          </w:p>
        </w:tc>
        <w:tc>
          <w:tcPr>
            <w:tcW w:w="320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w w:val="98"/>
              </w:rPr>
              <w:t>(107,595)</w:t>
            </w:r>
          </w:p>
        </w:tc>
        <w:tc>
          <w:tcPr>
            <w:tcW w:w="220" w:type="dxa"/>
            <w:vAlign w:val="bottom"/>
            <w:shd w:val="clear" w:color="auto" w:fill="CCEEFF"/>
          </w:tcPr>
          <w:p>
            <w:pPr>
              <w:jc w:val="right"/>
              <w:ind w:right="35"/>
              <w:spacing w:after="0"/>
              <w:rPr>
                <w:sz w:val="20"/>
                <w:szCs w:val="20"/>
                <w:color w:val="auto"/>
              </w:rPr>
            </w:pPr>
            <w:r>
              <w:rPr>
                <w:rFonts w:ascii="Arial" w:cs="Arial" w:eastAsia="Arial" w:hAnsi="Arial"/>
                <w:sz w:val="17"/>
                <w:szCs w:val="17"/>
                <w:color w:val="auto"/>
                <w:w w:val="84"/>
              </w:rPr>
              <w:t>$</w:t>
            </w: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(53,892)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Cash used in financing activities</w:t>
            </w:r>
          </w:p>
        </w:tc>
        <w:tc>
          <w:tcPr>
            <w:tcW w:w="320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tcPr>
          <w:p>
            <w:pPr>
              <w:jc w:val="right"/>
              <w:ind w:right="80"/>
              <w:spacing w:after="0"/>
              <w:rPr>
                <w:sz w:val="20"/>
                <w:szCs w:val="20"/>
                <w:color w:val="auto"/>
              </w:rPr>
            </w:pPr>
            <w:r>
              <w:rPr>
                <w:rFonts w:ascii="Arial" w:cs="Arial" w:eastAsia="Arial" w:hAnsi="Arial"/>
                <w:sz w:val="17"/>
                <w:szCs w:val="17"/>
                <w:color w:val="auto"/>
              </w:rPr>
              <w:t>(1,588)</w:t>
            </w:r>
          </w:p>
        </w:tc>
        <w:tc>
          <w:tcPr>
            <w:tcW w:w="220" w:type="dxa"/>
            <w:vAlign w:val="bottom"/>
          </w:tcPr>
          <w:p>
            <w:pPr>
              <w:jc w:val="right"/>
              <w:ind w:right="35"/>
              <w:spacing w:after="0"/>
              <w:rPr>
                <w:sz w:val="20"/>
                <w:szCs w:val="20"/>
                <w:color w:val="auto"/>
              </w:rPr>
            </w:pPr>
            <w:r>
              <w:rPr>
                <w:rFonts w:ascii="Arial" w:cs="Arial" w:eastAsia="Arial" w:hAnsi="Arial"/>
                <w:sz w:val="17"/>
                <w:szCs w:val="17"/>
                <w:color w:val="auto"/>
                <w:w w:val="84"/>
              </w:rPr>
              <w:t>$</w:t>
            </w:r>
          </w:p>
        </w:tc>
        <w:tc>
          <w:tcPr>
            <w:tcW w:w="760" w:type="dxa"/>
            <w:vAlign w:val="bottom"/>
            <w:gridSpan w:val="2"/>
          </w:tcPr>
          <w:p>
            <w:pPr>
              <w:jc w:val="right"/>
              <w:ind w:right="80"/>
              <w:spacing w:after="0"/>
              <w:rPr>
                <w:sz w:val="20"/>
                <w:szCs w:val="20"/>
                <w:color w:val="auto"/>
              </w:rPr>
            </w:pPr>
            <w:r>
              <w:rPr>
                <w:rFonts w:ascii="Arial" w:cs="Arial" w:eastAsia="Arial" w:hAnsi="Arial"/>
                <w:sz w:val="17"/>
                <w:szCs w:val="17"/>
                <w:color w:val="auto"/>
                <w:w w:val="90"/>
              </w:rPr>
              <w:t>(123,182)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9"/>
        </w:trPr>
        <w:tc>
          <w:tcPr>
            <w:tcW w:w="1140" w:type="dxa"/>
            <w:vAlign w:val="bottom"/>
          </w:tcPr>
          <w:p>
            <w:pPr>
              <w:spacing w:after="0"/>
              <w:rPr>
                <w:sz w:val="24"/>
                <w:szCs w:val="24"/>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Realized prices (US$):</w:t>
            </w:r>
          </w:p>
        </w:tc>
        <w:tc>
          <w:tcPr>
            <w:tcW w:w="30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Gold (per ounce)</w:t>
            </w:r>
          </w:p>
        </w:tc>
        <w:tc>
          <w:tcPr>
            <w:tcW w:w="320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1,192</w:t>
            </w:r>
          </w:p>
        </w:tc>
        <w:tc>
          <w:tcPr>
            <w:tcW w:w="220" w:type="dxa"/>
            <w:vAlign w:val="bottom"/>
          </w:tcPr>
          <w:p>
            <w:pPr>
              <w:jc w:val="right"/>
              <w:ind w:right="35"/>
              <w:spacing w:after="0"/>
              <w:rPr>
                <w:sz w:val="20"/>
                <w:szCs w:val="20"/>
                <w:color w:val="auto"/>
              </w:rPr>
            </w:pPr>
            <w:r>
              <w:rPr>
                <w:rFonts w:ascii="Arial" w:cs="Arial" w:eastAsia="Arial" w:hAnsi="Arial"/>
                <w:sz w:val="17"/>
                <w:szCs w:val="17"/>
                <w:color w:val="auto"/>
                <w:w w:val="84"/>
              </w:rPr>
              <w:t>$</w:t>
            </w: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1,202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Silver (per ounce)</w:t>
            </w:r>
          </w:p>
        </w:tc>
        <w:tc>
          <w:tcPr>
            <w:tcW w:w="320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15.09</w:t>
            </w:r>
          </w:p>
        </w:tc>
        <w:tc>
          <w:tcPr>
            <w:tcW w:w="220" w:type="dxa"/>
            <w:vAlign w:val="bottom"/>
            <w:shd w:val="clear" w:color="auto" w:fill="CCEEFF"/>
          </w:tcPr>
          <w:p>
            <w:pPr>
              <w:jc w:val="right"/>
              <w:ind w:right="35"/>
              <w:spacing w:after="0"/>
              <w:rPr>
                <w:sz w:val="20"/>
                <w:szCs w:val="20"/>
                <w:color w:val="auto"/>
              </w:rPr>
            </w:pPr>
            <w:r>
              <w:rPr>
                <w:rFonts w:ascii="Arial" w:cs="Arial" w:eastAsia="Arial" w:hAnsi="Arial"/>
                <w:sz w:val="17"/>
                <w:szCs w:val="17"/>
                <w:color w:val="auto"/>
                <w:w w:val="84"/>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17.02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20"/>
              <w:spacing w:after="0"/>
              <w:rPr>
                <w:sz w:val="20"/>
                <w:szCs w:val="20"/>
                <w:color w:val="auto"/>
              </w:rPr>
            </w:pPr>
            <w:r>
              <w:rPr>
                <w:rFonts w:ascii="Arial" w:cs="Arial" w:eastAsia="Arial" w:hAnsi="Arial"/>
                <w:sz w:val="17"/>
                <w:szCs w:val="17"/>
                <w:color w:val="auto"/>
              </w:rPr>
              <w:t>Zinc (per tonne)</w:t>
            </w:r>
          </w:p>
        </w:tc>
        <w:tc>
          <w:tcPr>
            <w:tcW w:w="320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1,540</w:t>
            </w:r>
          </w:p>
        </w:tc>
        <w:tc>
          <w:tcPr>
            <w:tcW w:w="220" w:type="dxa"/>
            <w:vAlign w:val="bottom"/>
          </w:tcPr>
          <w:p>
            <w:pPr>
              <w:jc w:val="right"/>
              <w:ind w:right="35"/>
              <w:spacing w:after="0"/>
              <w:rPr>
                <w:sz w:val="20"/>
                <w:szCs w:val="20"/>
                <w:color w:val="auto"/>
              </w:rPr>
            </w:pPr>
            <w:r>
              <w:rPr>
                <w:rFonts w:ascii="Arial" w:cs="Arial" w:eastAsia="Arial" w:hAnsi="Arial"/>
                <w:sz w:val="17"/>
                <w:szCs w:val="17"/>
                <w:color w:val="auto"/>
                <w:w w:val="84"/>
              </w:rPr>
              <w:t>$</w:t>
            </w: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2,072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Copper (per tonne)</w:t>
            </w:r>
          </w:p>
        </w:tc>
        <w:tc>
          <w:tcPr>
            <w:tcW w:w="320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4,297</w:t>
            </w:r>
          </w:p>
        </w:tc>
        <w:tc>
          <w:tcPr>
            <w:tcW w:w="220" w:type="dxa"/>
            <w:vAlign w:val="bottom"/>
            <w:shd w:val="clear" w:color="auto" w:fill="CCEEFF"/>
          </w:tcPr>
          <w:p>
            <w:pPr>
              <w:jc w:val="right"/>
              <w:ind w:right="35"/>
              <w:spacing w:after="0"/>
              <w:rPr>
                <w:sz w:val="20"/>
                <w:szCs w:val="20"/>
                <w:color w:val="auto"/>
              </w:rPr>
            </w:pPr>
            <w:r>
              <w:rPr>
                <w:rFonts w:ascii="Arial" w:cs="Arial" w:eastAsia="Arial" w:hAnsi="Arial"/>
                <w:sz w:val="17"/>
                <w:szCs w:val="17"/>
                <w:color w:val="auto"/>
                <w:w w:val="84"/>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5,056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59"/>
        </w:trPr>
        <w:tc>
          <w:tcPr>
            <w:tcW w:w="1140" w:type="dxa"/>
            <w:vAlign w:val="bottom"/>
          </w:tcPr>
          <w:p>
            <w:pPr>
              <w:spacing w:after="0"/>
              <w:rPr>
                <w:sz w:val="24"/>
                <w:szCs w:val="24"/>
                <w:color w:val="auto"/>
              </w:rPr>
            </w:pPr>
          </w:p>
        </w:tc>
        <w:tc>
          <w:tcPr>
            <w:tcW w:w="4120" w:type="dxa"/>
            <w:vAlign w:val="bottom"/>
          </w:tcPr>
          <w:p>
            <w:pPr>
              <w:ind w:left="20"/>
              <w:spacing w:after="0"/>
              <w:rPr>
                <w:sz w:val="20"/>
                <w:szCs w:val="20"/>
                <w:color w:val="auto"/>
              </w:rPr>
            </w:pPr>
            <w:r>
              <w:rPr>
                <w:rFonts w:ascii="Arial" w:cs="Arial" w:eastAsia="Arial" w:hAnsi="Arial"/>
                <w:sz w:val="17"/>
                <w:szCs w:val="17"/>
                <w:b w:val="1"/>
                <w:bCs w:val="1"/>
                <w:color w:val="auto"/>
              </w:rPr>
              <w:t>Payable production</w:t>
            </w:r>
            <w:r>
              <w:rPr>
                <w:rFonts w:ascii="Arial" w:cs="Arial" w:eastAsia="Arial" w:hAnsi="Arial"/>
                <w:sz w:val="28"/>
                <w:szCs w:val="28"/>
                <w:b w:val="1"/>
                <w:bCs w:val="1"/>
                <w:color w:val="auto"/>
                <w:vertAlign w:val="superscript"/>
              </w:rPr>
              <w:t>(iii)</w:t>
            </w:r>
            <w:r>
              <w:rPr>
                <w:rFonts w:ascii="Arial" w:cs="Arial" w:eastAsia="Arial" w:hAnsi="Arial"/>
                <w:sz w:val="17"/>
                <w:szCs w:val="17"/>
                <w:b w:val="1"/>
                <w:bCs w:val="1"/>
                <w:color w:val="auto"/>
              </w:rPr>
              <w:t>:</w:t>
            </w:r>
          </w:p>
        </w:tc>
        <w:tc>
          <w:tcPr>
            <w:tcW w:w="30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Gold (ounces):</w:t>
            </w:r>
          </w:p>
        </w:tc>
        <w:tc>
          <w:tcPr>
            <w:tcW w:w="30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180"/>
              <w:spacing w:after="0"/>
              <w:rPr>
                <w:sz w:val="20"/>
                <w:szCs w:val="20"/>
                <w:color w:val="auto"/>
              </w:rPr>
            </w:pPr>
            <w:r>
              <w:rPr>
                <w:rFonts w:ascii="Arial" w:cs="Arial" w:eastAsia="Arial" w:hAnsi="Arial"/>
                <w:sz w:val="17"/>
                <w:szCs w:val="17"/>
                <w:color w:val="auto"/>
              </w:rPr>
              <w:t>Northern Business</w:t>
            </w:r>
          </w:p>
        </w:tc>
        <w:tc>
          <w:tcPr>
            <w:tcW w:w="3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360"/>
              <w:spacing w:after="0"/>
              <w:rPr>
                <w:sz w:val="20"/>
                <w:szCs w:val="20"/>
                <w:color w:val="auto"/>
              </w:rPr>
            </w:pPr>
            <w:r>
              <w:rPr>
                <w:rFonts w:ascii="Arial" w:cs="Arial" w:eastAsia="Arial" w:hAnsi="Arial"/>
                <w:sz w:val="17"/>
                <w:szCs w:val="17"/>
                <w:color w:val="auto"/>
              </w:rPr>
              <w:t>LaRonde mine</w:t>
            </w:r>
          </w:p>
        </w:tc>
        <w:tc>
          <w:tcPr>
            <w:tcW w:w="30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75,337</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58,893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360"/>
              <w:spacing w:after="0"/>
              <w:rPr>
                <w:sz w:val="20"/>
                <w:szCs w:val="20"/>
                <w:color w:val="auto"/>
              </w:rPr>
            </w:pPr>
            <w:r>
              <w:rPr>
                <w:rFonts w:ascii="Arial" w:cs="Arial" w:eastAsia="Arial" w:hAnsi="Arial"/>
                <w:sz w:val="17"/>
                <w:szCs w:val="17"/>
                <w:color w:val="auto"/>
              </w:rPr>
              <w:t>Lapa mine</w:t>
            </w:r>
          </w:p>
        </w:tc>
        <w:tc>
          <w:tcPr>
            <w:tcW w:w="3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21,709</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25,920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360"/>
              <w:spacing w:after="0"/>
              <w:rPr>
                <w:sz w:val="20"/>
                <w:szCs w:val="20"/>
                <w:color w:val="auto"/>
              </w:rPr>
            </w:pPr>
            <w:r>
              <w:rPr>
                <w:rFonts w:ascii="Arial" w:cs="Arial" w:eastAsia="Arial" w:hAnsi="Arial"/>
                <w:sz w:val="17"/>
                <w:szCs w:val="17"/>
                <w:color w:val="auto"/>
              </w:rPr>
              <w:t>Goldex mine</w:t>
            </w:r>
          </w:p>
        </w:tc>
        <w:tc>
          <w:tcPr>
            <w:tcW w:w="30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32,340</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29,250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360"/>
              <w:spacing w:after="0"/>
              <w:rPr>
                <w:sz w:val="20"/>
                <w:szCs w:val="20"/>
                <w:color w:val="auto"/>
              </w:rPr>
            </w:pPr>
            <w:r>
              <w:rPr>
                <w:rFonts w:ascii="Arial" w:cs="Arial" w:eastAsia="Arial" w:hAnsi="Arial"/>
                <w:sz w:val="17"/>
                <w:szCs w:val="17"/>
                <w:color w:val="auto"/>
              </w:rPr>
              <w:t>Meadowbank mine</w:t>
            </w:r>
          </w:p>
        </w:tc>
        <w:tc>
          <w:tcPr>
            <w:tcW w:w="3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72,311</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88,523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4120" w:type="dxa"/>
            <w:vAlign w:val="bottom"/>
            <w:shd w:val="clear" w:color="auto" w:fill="CCEEFF"/>
          </w:tcPr>
          <w:p>
            <w:pPr>
              <w:ind w:left="36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w:t>
            </w:r>
          </w:p>
        </w:tc>
        <w:tc>
          <w:tcPr>
            <w:tcW w:w="304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73,613</w:t>
            </w:r>
          </w:p>
        </w:tc>
        <w:tc>
          <w:tcPr>
            <w:tcW w:w="220" w:type="dxa"/>
            <w:vAlign w:val="bottom"/>
            <w:shd w:val="clear" w:color="auto" w:fill="CCEEFF"/>
          </w:tcPr>
          <w:p>
            <w:pPr>
              <w:spacing w:after="0"/>
              <w:rPr>
                <w:sz w:val="21"/>
                <w:szCs w:val="21"/>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67,893</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360"/>
              <w:spacing w:after="0"/>
              <w:rPr>
                <w:sz w:val="20"/>
                <w:szCs w:val="20"/>
                <w:color w:val="auto"/>
              </w:rPr>
            </w:pPr>
            <w:r>
              <w:rPr>
                <w:rFonts w:ascii="Arial" w:cs="Arial" w:eastAsia="Arial" w:hAnsi="Arial"/>
                <w:sz w:val="17"/>
                <w:szCs w:val="17"/>
                <w:color w:val="auto"/>
              </w:rPr>
              <w:t>Kittila mine</w:t>
            </w:r>
          </w:p>
        </w:tc>
        <w:tc>
          <w:tcPr>
            <w:tcW w:w="3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48,127</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44,654</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Southern Business</w:t>
            </w:r>
          </w:p>
        </w:tc>
        <w:tc>
          <w:tcPr>
            <w:tcW w:w="30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tcPr>
          <w:p>
            <w:pPr>
              <w:ind w:left="360"/>
              <w:spacing w:after="0"/>
              <w:rPr>
                <w:sz w:val="20"/>
                <w:szCs w:val="20"/>
                <w:color w:val="auto"/>
              </w:rPr>
            </w:pPr>
            <w:r>
              <w:rPr>
                <w:rFonts w:ascii="Arial" w:cs="Arial" w:eastAsia="Arial" w:hAnsi="Arial"/>
                <w:sz w:val="17"/>
                <w:szCs w:val="17"/>
                <w:color w:val="auto"/>
              </w:rPr>
              <w:t>Pinos Altos mine</w:t>
            </w:r>
          </w:p>
        </w:tc>
        <w:tc>
          <w:tcPr>
            <w:tcW w:w="3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48,117</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50,106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4120" w:type="dxa"/>
            <w:vAlign w:val="bottom"/>
            <w:shd w:val="clear" w:color="auto" w:fill="CCEEFF"/>
          </w:tcPr>
          <w:p>
            <w:pPr>
              <w:ind w:left="360"/>
              <w:spacing w:after="0"/>
              <w:rPr>
                <w:sz w:val="20"/>
                <w:szCs w:val="20"/>
                <w:color w:val="auto"/>
              </w:rPr>
            </w:pPr>
            <w:r>
              <w:rPr>
                <w:rFonts w:ascii="Arial" w:cs="Arial" w:eastAsia="Arial" w:hAnsi="Arial"/>
                <w:sz w:val="17"/>
                <w:szCs w:val="17"/>
                <w:color w:val="auto"/>
              </w:rPr>
              <w:t>Creston Mascota deposit at Pinos Altos</w:t>
            </w:r>
          </w:p>
        </w:tc>
        <w:tc>
          <w:tcPr>
            <w:tcW w:w="30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11,551</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12,448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4120" w:type="dxa"/>
            <w:vAlign w:val="bottom"/>
          </w:tcPr>
          <w:p>
            <w:pPr>
              <w:ind w:left="360"/>
              <w:spacing w:after="0"/>
              <w:rPr>
                <w:sz w:val="20"/>
                <w:szCs w:val="20"/>
                <w:color w:val="auto"/>
              </w:rPr>
            </w:pPr>
            <w:r>
              <w:rPr>
                <w:rFonts w:ascii="Arial" w:cs="Arial" w:eastAsia="Arial" w:hAnsi="Arial"/>
                <w:sz w:val="17"/>
                <w:szCs w:val="17"/>
                <w:color w:val="auto"/>
              </w:rPr>
              <w:t>La India mine</w:t>
            </w:r>
          </w:p>
        </w:tc>
        <w:tc>
          <w:tcPr>
            <w:tcW w:w="3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7"/>
                <w:szCs w:val="17"/>
                <w:color w:val="auto"/>
              </w:rPr>
              <w:t>28,231</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26,523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30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4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gold (ounces)</w:t>
            </w:r>
          </w:p>
        </w:tc>
        <w:tc>
          <w:tcPr>
            <w:tcW w:w="30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411,336</w:t>
            </w:r>
          </w:p>
        </w:tc>
        <w:tc>
          <w:tcPr>
            <w:tcW w:w="22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7"/>
              </w:rPr>
              <w:t>404,210</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4120" w:type="dxa"/>
            <w:vAlign w:val="bottom"/>
          </w:tcPr>
          <w:p>
            <w:pPr>
              <w:spacing w:after="0"/>
              <w:rPr>
                <w:sz w:val="2"/>
                <w:szCs w:val="2"/>
                <w:color w:val="auto"/>
              </w:rPr>
            </w:pPr>
          </w:p>
        </w:tc>
        <w:tc>
          <w:tcPr>
            <w:tcW w:w="3040" w:type="dxa"/>
            <w:vAlign w:val="bottom"/>
            <w:vMerge w:val="restart"/>
          </w:tcPr>
          <w:p>
            <w:pPr>
              <w:jc w:val="right"/>
              <w:ind w:right="2415"/>
              <w:spacing w:after="0"/>
              <w:rPr>
                <w:sz w:val="20"/>
                <w:szCs w:val="20"/>
                <w:color w:val="auto"/>
              </w:rPr>
            </w:pPr>
            <w:r>
              <w:rPr>
                <w:rFonts w:ascii="Arial" w:cs="Arial" w:eastAsia="Arial" w:hAnsi="Arial"/>
                <w:sz w:val="17"/>
                <w:szCs w:val="17"/>
                <w:color w:val="auto"/>
              </w:rPr>
              <w:t>21</w:t>
            </w:r>
          </w:p>
        </w:tc>
        <w:tc>
          <w:tcPr>
            <w:tcW w:w="16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410"/>
        </w:trPr>
        <w:tc>
          <w:tcPr>
            <w:tcW w:w="1140" w:type="dxa"/>
            <w:vAlign w:val="bottom"/>
          </w:tcPr>
          <w:p>
            <w:pPr>
              <w:spacing w:after="0"/>
              <w:rPr>
                <w:sz w:val="24"/>
                <w:szCs w:val="24"/>
                <w:color w:val="auto"/>
              </w:rPr>
            </w:pPr>
          </w:p>
        </w:tc>
        <w:tc>
          <w:tcPr>
            <w:tcW w:w="4120" w:type="dxa"/>
            <w:vAlign w:val="bottom"/>
          </w:tcPr>
          <w:p>
            <w:pPr>
              <w:spacing w:after="0"/>
              <w:rPr>
                <w:sz w:val="24"/>
                <w:szCs w:val="24"/>
                <w:color w:val="auto"/>
              </w:rPr>
            </w:pPr>
          </w:p>
        </w:tc>
        <w:tc>
          <w:tcPr>
            <w:tcW w:w="304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4120" w:type="dxa"/>
            <w:vAlign w:val="bottom"/>
            <w:tcBorders>
              <w:bottom w:val="single" w:sz="8" w:color="808080"/>
            </w:tcBorders>
          </w:tcPr>
          <w:p>
            <w:pPr>
              <w:spacing w:after="0"/>
              <w:rPr>
                <w:sz w:val="19"/>
                <w:szCs w:val="19"/>
                <w:color w:val="auto"/>
              </w:rPr>
            </w:pPr>
          </w:p>
        </w:tc>
        <w:tc>
          <w:tcPr>
            <w:tcW w:w="30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6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5" w:name="page26"/>
    <w:bookmarkEnd w:id="25"/>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SUMMARY OF OPERATIONS KEY PERFORMANCE INDICATORS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(thousands of United States dollars, except where noted)</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3760" w:type="dxa"/>
            <w:vAlign w:val="bottom"/>
          </w:tcPr>
          <w:p>
            <w:pPr>
              <w:spacing w:after="0"/>
              <w:rPr>
                <w:sz w:val="13"/>
                <w:szCs w:val="13"/>
                <w:color w:val="auto"/>
              </w:rPr>
            </w:pPr>
          </w:p>
        </w:tc>
        <w:tc>
          <w:tcPr>
            <w:tcW w:w="3400" w:type="dxa"/>
            <w:vAlign w:val="bottom"/>
          </w:tcPr>
          <w:p>
            <w:pPr>
              <w:spacing w:after="0"/>
              <w:rPr>
                <w:sz w:val="13"/>
                <w:szCs w:val="13"/>
                <w:color w:val="auto"/>
              </w:rPr>
            </w:pPr>
          </w:p>
        </w:tc>
        <w:tc>
          <w:tcPr>
            <w:tcW w:w="3120" w:type="dxa"/>
            <w:vAlign w:val="bottom"/>
            <w:gridSpan w:val="6"/>
          </w:tcPr>
          <w:p>
            <w:pPr>
              <w:jc w:val="center"/>
              <w:ind w:right="1280"/>
              <w:spacing w:after="0"/>
              <w:rPr>
                <w:sz w:val="20"/>
                <w:szCs w:val="20"/>
                <w:color w:val="auto"/>
              </w:rPr>
            </w:pPr>
            <w:r>
              <w:rPr>
                <w:rFonts w:ascii="Arial" w:cs="Arial" w:eastAsia="Arial" w:hAnsi="Arial"/>
                <w:sz w:val="13"/>
                <w:szCs w:val="13"/>
                <w:b w:val="1"/>
                <w:bCs w:val="1"/>
                <w:color w:val="auto"/>
                <w:w w:val="93"/>
              </w:rPr>
              <w:t>Three Months Ended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3760" w:type="dxa"/>
            <w:vAlign w:val="bottom"/>
          </w:tcPr>
          <w:p>
            <w:pPr>
              <w:spacing w:after="0"/>
              <w:rPr>
                <w:sz w:val="13"/>
                <w:szCs w:val="13"/>
                <w:color w:val="auto"/>
              </w:rPr>
            </w:pPr>
          </w:p>
        </w:tc>
        <w:tc>
          <w:tcPr>
            <w:tcW w:w="3400" w:type="dxa"/>
            <w:vAlign w:val="bottom"/>
          </w:tcPr>
          <w:p>
            <w:pPr>
              <w:spacing w:after="0"/>
              <w:rPr>
                <w:sz w:val="13"/>
                <w:szCs w:val="13"/>
                <w:color w:val="auto"/>
              </w:rPr>
            </w:pPr>
          </w:p>
        </w:tc>
        <w:tc>
          <w:tcPr>
            <w:tcW w:w="1240" w:type="dxa"/>
            <w:vAlign w:val="bottom"/>
            <w:tcBorders>
              <w:bottom w:val="single" w:sz="8" w:color="auto"/>
            </w:tcBorders>
            <w:gridSpan w:val="3"/>
          </w:tcPr>
          <w:p>
            <w:pPr>
              <w:jc w:val="center"/>
              <w:ind w:left="505"/>
              <w:spacing w:after="0"/>
              <w:rPr>
                <w:sz w:val="20"/>
                <w:szCs w:val="20"/>
                <w:color w:val="auto"/>
              </w:rPr>
            </w:pPr>
            <w:r>
              <w:rPr>
                <w:rFonts w:ascii="Arial" w:cs="Arial" w:eastAsia="Arial" w:hAnsi="Arial"/>
                <w:sz w:val="13"/>
                <w:szCs w:val="13"/>
                <w:b w:val="1"/>
                <w:bCs w:val="1"/>
                <w:color w:val="auto"/>
                <w:w w:val="96"/>
              </w:rPr>
              <w:t>March 31,</w:t>
            </w:r>
          </w:p>
        </w:tc>
        <w:tc>
          <w:tcPr>
            <w:tcW w:w="58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1140" w:type="dxa"/>
            <w:vAlign w:val="bottom"/>
          </w:tcPr>
          <w:p>
            <w:pPr>
              <w:spacing w:after="0"/>
              <w:rPr>
                <w:sz w:val="11"/>
                <w:szCs w:val="11"/>
                <w:color w:val="auto"/>
              </w:rPr>
            </w:pPr>
          </w:p>
        </w:tc>
        <w:tc>
          <w:tcPr>
            <w:tcW w:w="3760" w:type="dxa"/>
            <w:vAlign w:val="bottom"/>
          </w:tcPr>
          <w:p>
            <w:pPr>
              <w:spacing w:after="0"/>
              <w:rPr>
                <w:sz w:val="11"/>
                <w:szCs w:val="11"/>
                <w:color w:val="auto"/>
              </w:rPr>
            </w:pPr>
          </w:p>
        </w:tc>
        <w:tc>
          <w:tcPr>
            <w:tcW w:w="3400" w:type="dxa"/>
            <w:vAlign w:val="bottom"/>
          </w:tcPr>
          <w:p>
            <w:pPr>
              <w:spacing w:after="0"/>
              <w:rPr>
                <w:sz w:val="11"/>
                <w:szCs w:val="11"/>
                <w:color w:val="auto"/>
              </w:rPr>
            </w:pPr>
          </w:p>
        </w:tc>
        <w:tc>
          <w:tcPr>
            <w:tcW w:w="820" w:type="dxa"/>
            <w:vAlign w:val="bottom"/>
            <w:tcBorders>
              <w:bottom w:val="single" w:sz="8" w:color="auto"/>
            </w:tcBorders>
          </w:tcPr>
          <w:p>
            <w:pPr>
              <w:jc w:val="right"/>
              <w:ind w:right="185"/>
              <w:spacing w:after="0" w:line="138" w:lineRule="exact"/>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tcPr>
          <w:p>
            <w:pPr>
              <w:jc w:val="right"/>
              <w:ind w:right="195"/>
              <w:spacing w:after="0" w:line="138" w:lineRule="exact"/>
              <w:rPr>
                <w:sz w:val="20"/>
                <w:szCs w:val="20"/>
                <w:color w:val="auto"/>
              </w:rPr>
            </w:pPr>
            <w:r>
              <w:rPr>
                <w:rFonts w:ascii="Arial" w:cs="Arial" w:eastAsia="Arial" w:hAnsi="Arial"/>
                <w:sz w:val="13"/>
                <w:szCs w:val="13"/>
                <w:b w:val="1"/>
                <w:bCs w:val="1"/>
                <w:color w:val="auto"/>
                <w:w w:val="96"/>
              </w:rPr>
              <w:t>2015</w:t>
            </w:r>
          </w:p>
        </w:tc>
        <w:tc>
          <w:tcPr>
            <w:tcW w:w="1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760" w:type="dxa"/>
            <w:vAlign w:val="bottom"/>
            <w:shd w:val="clear" w:color="auto" w:fill="CCEEFF"/>
          </w:tcPr>
          <w:p>
            <w:pPr>
              <w:ind w:left="20"/>
              <w:spacing w:after="0"/>
              <w:rPr>
                <w:sz w:val="20"/>
                <w:szCs w:val="20"/>
                <w:color w:val="auto"/>
              </w:rPr>
            </w:pPr>
            <w:r>
              <w:rPr>
                <w:rFonts w:ascii="Arial" w:cs="Arial" w:eastAsia="Arial" w:hAnsi="Arial"/>
                <w:sz w:val="17"/>
                <w:szCs w:val="17"/>
                <w:color w:val="auto"/>
              </w:rPr>
              <w:t>Silver (thousands of ounces):</w:t>
            </w:r>
          </w:p>
        </w:tc>
        <w:tc>
          <w:tcPr>
            <w:tcW w:w="340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180"/>
              <w:spacing w:after="0"/>
              <w:rPr>
                <w:sz w:val="20"/>
                <w:szCs w:val="20"/>
                <w:color w:val="auto"/>
              </w:rPr>
            </w:pPr>
            <w:r>
              <w:rPr>
                <w:rFonts w:ascii="Arial" w:cs="Arial" w:eastAsia="Arial" w:hAnsi="Arial"/>
                <w:sz w:val="17"/>
                <w:szCs w:val="17"/>
                <w:color w:val="auto"/>
              </w:rPr>
              <w:t>Northern Business</w:t>
            </w:r>
          </w:p>
        </w:tc>
        <w:tc>
          <w:tcPr>
            <w:tcW w:w="34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LaRonde mine</w:t>
            </w:r>
          </w:p>
        </w:tc>
        <w:tc>
          <w:tcPr>
            <w:tcW w:w="438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247</w:t>
            </w:r>
          </w:p>
        </w:tc>
        <w:tc>
          <w:tcPr>
            <w:tcW w:w="2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198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Lapa mine</w:t>
            </w:r>
          </w:p>
        </w:tc>
        <w:tc>
          <w:tcPr>
            <w:tcW w:w="4380" w:type="dxa"/>
            <w:vAlign w:val="bottom"/>
            <w:gridSpan w:val="3"/>
          </w:tcPr>
          <w:p>
            <w:pPr>
              <w:jc w:val="right"/>
              <w:ind w:right="140"/>
              <w:spacing w:after="0"/>
              <w:rPr>
                <w:sz w:val="20"/>
                <w:szCs w:val="20"/>
                <w:color w:val="auto"/>
              </w:rPr>
            </w:pPr>
            <w:r>
              <w:rPr>
                <w:rFonts w:ascii="Arial" w:cs="Arial" w:eastAsia="Arial" w:hAnsi="Arial"/>
                <w:sz w:val="17"/>
                <w:szCs w:val="17"/>
                <w:color w:val="auto"/>
              </w:rPr>
              <w:t>3</w:t>
            </w:r>
          </w:p>
        </w:tc>
        <w:tc>
          <w:tcPr>
            <w:tcW w:w="26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1</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Meadowbank mine</w:t>
            </w:r>
          </w:p>
        </w:tc>
        <w:tc>
          <w:tcPr>
            <w:tcW w:w="438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43</w:t>
            </w:r>
          </w:p>
        </w:tc>
        <w:tc>
          <w:tcPr>
            <w:tcW w:w="2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3760" w:type="dxa"/>
            <w:vAlign w:val="bottom"/>
          </w:tcPr>
          <w:p>
            <w:pPr>
              <w:ind w:left="36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w:t>
            </w:r>
          </w:p>
        </w:tc>
        <w:tc>
          <w:tcPr>
            <w:tcW w:w="4380" w:type="dxa"/>
            <w:vAlign w:val="bottom"/>
            <w:gridSpan w:val="3"/>
          </w:tcPr>
          <w:p>
            <w:pPr>
              <w:jc w:val="right"/>
              <w:ind w:right="140"/>
              <w:spacing w:after="0"/>
              <w:rPr>
                <w:sz w:val="20"/>
                <w:szCs w:val="20"/>
                <w:color w:val="auto"/>
              </w:rPr>
            </w:pPr>
            <w:r>
              <w:rPr>
                <w:rFonts w:ascii="Arial" w:cs="Arial" w:eastAsia="Arial" w:hAnsi="Arial"/>
                <w:sz w:val="17"/>
                <w:szCs w:val="17"/>
                <w:color w:val="auto"/>
              </w:rPr>
              <w:t>77</w:t>
            </w:r>
          </w:p>
        </w:tc>
        <w:tc>
          <w:tcPr>
            <w:tcW w:w="260" w:type="dxa"/>
            <w:vAlign w:val="bottom"/>
          </w:tcPr>
          <w:p>
            <w:pPr>
              <w:spacing w:after="0"/>
              <w:rPr>
                <w:sz w:val="21"/>
                <w:szCs w:val="21"/>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72</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Kittila mine</w:t>
            </w:r>
          </w:p>
        </w:tc>
        <w:tc>
          <w:tcPr>
            <w:tcW w:w="438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3</w:t>
            </w:r>
          </w:p>
        </w:tc>
        <w:tc>
          <w:tcPr>
            <w:tcW w:w="2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180"/>
              <w:spacing w:after="0"/>
              <w:rPr>
                <w:sz w:val="20"/>
                <w:szCs w:val="20"/>
                <w:color w:val="auto"/>
              </w:rPr>
            </w:pPr>
            <w:r>
              <w:rPr>
                <w:rFonts w:ascii="Arial" w:cs="Arial" w:eastAsia="Arial" w:hAnsi="Arial"/>
                <w:sz w:val="17"/>
                <w:szCs w:val="17"/>
                <w:color w:val="auto"/>
              </w:rPr>
              <w:t>Southern Business</w:t>
            </w:r>
          </w:p>
        </w:tc>
        <w:tc>
          <w:tcPr>
            <w:tcW w:w="34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Pinos Altos mine</w:t>
            </w:r>
          </w:p>
        </w:tc>
        <w:tc>
          <w:tcPr>
            <w:tcW w:w="438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587</w:t>
            </w:r>
          </w:p>
        </w:tc>
        <w:tc>
          <w:tcPr>
            <w:tcW w:w="2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562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Creston Mascota deposit at Pinos Altos</w:t>
            </w:r>
          </w:p>
        </w:tc>
        <w:tc>
          <w:tcPr>
            <w:tcW w:w="4380" w:type="dxa"/>
            <w:vAlign w:val="bottom"/>
            <w:gridSpan w:val="3"/>
          </w:tcPr>
          <w:p>
            <w:pPr>
              <w:jc w:val="right"/>
              <w:ind w:right="140"/>
              <w:spacing w:after="0"/>
              <w:rPr>
                <w:sz w:val="20"/>
                <w:szCs w:val="20"/>
                <w:color w:val="auto"/>
              </w:rPr>
            </w:pPr>
            <w:r>
              <w:rPr>
                <w:rFonts w:ascii="Arial" w:cs="Arial" w:eastAsia="Arial" w:hAnsi="Arial"/>
                <w:sz w:val="17"/>
                <w:szCs w:val="17"/>
                <w:color w:val="auto"/>
              </w:rPr>
              <w:t>48</w:t>
            </w:r>
          </w:p>
        </w:tc>
        <w:tc>
          <w:tcPr>
            <w:tcW w:w="26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32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La India mine</w:t>
            </w:r>
          </w:p>
        </w:tc>
        <w:tc>
          <w:tcPr>
            <w:tcW w:w="438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117</w:t>
            </w:r>
          </w:p>
        </w:tc>
        <w:tc>
          <w:tcPr>
            <w:tcW w:w="2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760" w:type="dxa"/>
            <w:vAlign w:val="bottom"/>
            <w:vMerge w:val="restart"/>
          </w:tcPr>
          <w:p>
            <w:pPr>
              <w:ind w:left="20"/>
              <w:spacing w:after="0"/>
              <w:rPr>
                <w:sz w:val="20"/>
                <w:szCs w:val="20"/>
                <w:color w:val="auto"/>
              </w:rPr>
            </w:pPr>
            <w:r>
              <w:rPr>
                <w:rFonts w:ascii="Arial" w:cs="Arial" w:eastAsia="Arial" w:hAnsi="Arial"/>
                <w:sz w:val="17"/>
                <w:szCs w:val="17"/>
                <w:color w:val="auto"/>
              </w:rPr>
              <w:t>Total silver (thousands of ounces)</w:t>
            </w:r>
          </w:p>
        </w:tc>
        <w:tc>
          <w:tcPr>
            <w:tcW w:w="4380" w:type="dxa"/>
            <w:vAlign w:val="bottom"/>
            <w:gridSpan w:val="3"/>
          </w:tcPr>
          <w:p>
            <w:pPr>
              <w:spacing w:after="0"/>
              <w:rPr>
                <w:sz w:val="2"/>
                <w:szCs w:val="2"/>
                <w:color w:val="auto"/>
              </w:rPr>
            </w:pPr>
          </w:p>
        </w:tc>
        <w:tc>
          <w:tcPr>
            <w:tcW w:w="26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1140" w:type="dxa"/>
            <w:vAlign w:val="bottom"/>
          </w:tcPr>
          <w:p>
            <w:pPr>
              <w:spacing w:after="0"/>
              <w:rPr>
                <w:sz w:val="18"/>
                <w:szCs w:val="18"/>
                <w:color w:val="auto"/>
              </w:rPr>
            </w:pPr>
          </w:p>
        </w:tc>
        <w:tc>
          <w:tcPr>
            <w:tcW w:w="3760" w:type="dxa"/>
            <w:vAlign w:val="bottom"/>
            <w:vMerge w:val="continue"/>
          </w:tcPr>
          <w:p>
            <w:pPr>
              <w:spacing w:after="0"/>
              <w:rPr>
                <w:sz w:val="18"/>
                <w:szCs w:val="18"/>
                <w:color w:val="auto"/>
              </w:rPr>
            </w:pPr>
          </w:p>
        </w:tc>
        <w:tc>
          <w:tcPr>
            <w:tcW w:w="3400" w:type="dxa"/>
            <w:vAlign w:val="bottom"/>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1,125</w:t>
            </w:r>
          </w:p>
        </w:tc>
        <w:tc>
          <w:tcPr>
            <w:tcW w:w="16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1,032</w:t>
            </w: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340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760" w:type="dxa"/>
            <w:vAlign w:val="bottom"/>
            <w:shd w:val="clear" w:color="auto" w:fill="CCEEFF"/>
          </w:tcPr>
          <w:p>
            <w:pPr>
              <w:ind w:left="20"/>
              <w:spacing w:after="0"/>
              <w:rPr>
                <w:sz w:val="20"/>
                <w:szCs w:val="20"/>
                <w:color w:val="auto"/>
              </w:rPr>
            </w:pPr>
            <w:r>
              <w:rPr>
                <w:rFonts w:ascii="Arial" w:cs="Arial" w:eastAsia="Arial" w:hAnsi="Arial"/>
                <w:sz w:val="17"/>
                <w:szCs w:val="17"/>
                <w:color w:val="auto"/>
              </w:rPr>
              <w:t>Zinc (tonnes)</w:t>
            </w:r>
          </w:p>
        </w:tc>
        <w:tc>
          <w:tcPr>
            <w:tcW w:w="438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614</w:t>
            </w:r>
          </w:p>
        </w:tc>
        <w:tc>
          <w:tcPr>
            <w:tcW w:w="260" w:type="dxa"/>
            <w:vAlign w:val="bottom"/>
            <w:shd w:val="clear" w:color="auto" w:fill="CCEEFF"/>
          </w:tcPr>
          <w:p>
            <w:pPr>
              <w:spacing w:after="0"/>
              <w:rPr>
                <w:sz w:val="17"/>
                <w:szCs w:val="17"/>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936</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20"/>
              <w:spacing w:after="0"/>
              <w:rPr>
                <w:sz w:val="20"/>
                <w:szCs w:val="20"/>
                <w:color w:val="auto"/>
              </w:rPr>
            </w:pPr>
            <w:r>
              <w:rPr>
                <w:rFonts w:ascii="Arial" w:cs="Arial" w:eastAsia="Arial" w:hAnsi="Arial"/>
                <w:sz w:val="17"/>
                <w:szCs w:val="17"/>
                <w:color w:val="auto"/>
              </w:rPr>
              <w:t>Copper (tonnes)</w:t>
            </w:r>
          </w:p>
        </w:tc>
        <w:tc>
          <w:tcPr>
            <w:tcW w:w="4380" w:type="dxa"/>
            <w:vAlign w:val="bottom"/>
            <w:gridSpan w:val="3"/>
          </w:tcPr>
          <w:p>
            <w:pPr>
              <w:jc w:val="right"/>
              <w:ind w:right="140"/>
              <w:spacing w:after="0"/>
              <w:rPr>
                <w:sz w:val="20"/>
                <w:szCs w:val="20"/>
                <w:color w:val="auto"/>
              </w:rPr>
            </w:pPr>
            <w:r>
              <w:rPr>
                <w:rFonts w:ascii="Arial" w:cs="Arial" w:eastAsia="Arial" w:hAnsi="Arial"/>
                <w:sz w:val="17"/>
                <w:szCs w:val="17"/>
                <w:color w:val="auto"/>
              </w:rPr>
              <w:t>1,154</w:t>
            </w:r>
          </w:p>
        </w:tc>
        <w:tc>
          <w:tcPr>
            <w:tcW w:w="26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1,167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9"/>
        </w:trPr>
        <w:tc>
          <w:tcPr>
            <w:tcW w:w="1140" w:type="dxa"/>
            <w:vAlign w:val="bottom"/>
          </w:tcPr>
          <w:p>
            <w:pPr>
              <w:spacing w:after="0"/>
              <w:rPr>
                <w:sz w:val="24"/>
                <w:szCs w:val="24"/>
                <w:color w:val="auto"/>
              </w:rPr>
            </w:pPr>
          </w:p>
        </w:tc>
        <w:tc>
          <w:tcPr>
            <w:tcW w:w="376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Payable metal sold:</w:t>
            </w:r>
          </w:p>
        </w:tc>
        <w:tc>
          <w:tcPr>
            <w:tcW w:w="340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20"/>
              <w:spacing w:after="0"/>
              <w:rPr>
                <w:sz w:val="20"/>
                <w:szCs w:val="20"/>
                <w:color w:val="auto"/>
              </w:rPr>
            </w:pPr>
            <w:r>
              <w:rPr>
                <w:rFonts w:ascii="Arial" w:cs="Arial" w:eastAsia="Arial" w:hAnsi="Arial"/>
                <w:sz w:val="17"/>
                <w:szCs w:val="17"/>
                <w:color w:val="auto"/>
              </w:rPr>
              <w:t>Gold (ounces):</w:t>
            </w:r>
          </w:p>
        </w:tc>
        <w:tc>
          <w:tcPr>
            <w:tcW w:w="34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180"/>
              <w:spacing w:after="0"/>
              <w:rPr>
                <w:sz w:val="20"/>
                <w:szCs w:val="20"/>
                <w:color w:val="auto"/>
              </w:rPr>
            </w:pPr>
            <w:r>
              <w:rPr>
                <w:rFonts w:ascii="Arial" w:cs="Arial" w:eastAsia="Arial" w:hAnsi="Arial"/>
                <w:sz w:val="17"/>
                <w:szCs w:val="17"/>
                <w:color w:val="auto"/>
              </w:rPr>
              <w:t>Northern Business</w:t>
            </w:r>
          </w:p>
        </w:tc>
        <w:tc>
          <w:tcPr>
            <w:tcW w:w="34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LaRonde mine</w:t>
            </w:r>
          </w:p>
        </w:tc>
        <w:tc>
          <w:tcPr>
            <w:tcW w:w="4380" w:type="dxa"/>
            <w:vAlign w:val="bottom"/>
            <w:gridSpan w:val="3"/>
          </w:tcPr>
          <w:p>
            <w:pPr>
              <w:jc w:val="right"/>
              <w:ind w:right="140"/>
              <w:spacing w:after="0"/>
              <w:rPr>
                <w:sz w:val="20"/>
                <w:szCs w:val="20"/>
                <w:color w:val="auto"/>
              </w:rPr>
            </w:pPr>
            <w:r>
              <w:rPr>
                <w:rFonts w:ascii="Arial" w:cs="Arial" w:eastAsia="Arial" w:hAnsi="Arial"/>
                <w:sz w:val="17"/>
                <w:szCs w:val="17"/>
                <w:color w:val="auto"/>
              </w:rPr>
              <w:t>75,257</w:t>
            </w:r>
          </w:p>
        </w:tc>
        <w:tc>
          <w:tcPr>
            <w:tcW w:w="26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60,943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Lapa mine</w:t>
            </w:r>
          </w:p>
        </w:tc>
        <w:tc>
          <w:tcPr>
            <w:tcW w:w="438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19,836</w:t>
            </w:r>
          </w:p>
        </w:tc>
        <w:tc>
          <w:tcPr>
            <w:tcW w:w="2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23,497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Goldex mine</w:t>
            </w:r>
          </w:p>
        </w:tc>
        <w:tc>
          <w:tcPr>
            <w:tcW w:w="4380" w:type="dxa"/>
            <w:vAlign w:val="bottom"/>
            <w:gridSpan w:val="3"/>
          </w:tcPr>
          <w:p>
            <w:pPr>
              <w:jc w:val="right"/>
              <w:ind w:right="140"/>
              <w:spacing w:after="0"/>
              <w:rPr>
                <w:sz w:val="20"/>
                <w:szCs w:val="20"/>
                <w:color w:val="auto"/>
              </w:rPr>
            </w:pPr>
            <w:r>
              <w:rPr>
                <w:rFonts w:ascii="Arial" w:cs="Arial" w:eastAsia="Arial" w:hAnsi="Arial"/>
                <w:sz w:val="17"/>
                <w:szCs w:val="17"/>
                <w:color w:val="auto"/>
              </w:rPr>
              <w:t>31,955</w:t>
            </w:r>
          </w:p>
        </w:tc>
        <w:tc>
          <w:tcPr>
            <w:tcW w:w="26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27,907</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Meadowbank mine</w:t>
            </w:r>
          </w:p>
        </w:tc>
        <w:tc>
          <w:tcPr>
            <w:tcW w:w="438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71,589</w:t>
            </w:r>
          </w:p>
        </w:tc>
        <w:tc>
          <w:tcPr>
            <w:tcW w:w="2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84,780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3760" w:type="dxa"/>
            <w:vAlign w:val="bottom"/>
          </w:tcPr>
          <w:p>
            <w:pPr>
              <w:ind w:left="36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(ii)(iv)</w:t>
            </w:r>
          </w:p>
        </w:tc>
        <w:tc>
          <w:tcPr>
            <w:tcW w:w="4380" w:type="dxa"/>
            <w:vAlign w:val="bottom"/>
            <w:gridSpan w:val="3"/>
          </w:tcPr>
          <w:p>
            <w:pPr>
              <w:jc w:val="right"/>
              <w:ind w:right="140"/>
              <w:spacing w:after="0"/>
              <w:rPr>
                <w:sz w:val="20"/>
                <w:szCs w:val="20"/>
                <w:color w:val="auto"/>
              </w:rPr>
            </w:pPr>
            <w:r>
              <w:rPr>
                <w:rFonts w:ascii="Arial" w:cs="Arial" w:eastAsia="Arial" w:hAnsi="Arial"/>
                <w:sz w:val="17"/>
                <w:szCs w:val="17"/>
                <w:color w:val="auto"/>
              </w:rPr>
              <w:t>65,085</w:t>
            </w:r>
          </w:p>
        </w:tc>
        <w:tc>
          <w:tcPr>
            <w:tcW w:w="260" w:type="dxa"/>
            <w:vAlign w:val="bottom"/>
          </w:tcPr>
          <w:p>
            <w:pPr>
              <w:spacing w:after="0"/>
              <w:rPr>
                <w:sz w:val="21"/>
                <w:szCs w:val="21"/>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59,261</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Kittila mine</w:t>
            </w:r>
          </w:p>
        </w:tc>
        <w:tc>
          <w:tcPr>
            <w:tcW w:w="438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50,725</w:t>
            </w:r>
          </w:p>
        </w:tc>
        <w:tc>
          <w:tcPr>
            <w:tcW w:w="2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48,982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180"/>
              <w:spacing w:after="0"/>
              <w:rPr>
                <w:sz w:val="20"/>
                <w:szCs w:val="20"/>
                <w:color w:val="auto"/>
              </w:rPr>
            </w:pPr>
            <w:r>
              <w:rPr>
                <w:rFonts w:ascii="Arial" w:cs="Arial" w:eastAsia="Arial" w:hAnsi="Arial"/>
                <w:sz w:val="17"/>
                <w:szCs w:val="17"/>
                <w:color w:val="auto"/>
              </w:rPr>
              <w:t>Southern Business</w:t>
            </w:r>
          </w:p>
        </w:tc>
        <w:tc>
          <w:tcPr>
            <w:tcW w:w="34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Pinos Altos mine</w:t>
            </w:r>
          </w:p>
        </w:tc>
        <w:tc>
          <w:tcPr>
            <w:tcW w:w="438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43,224</w:t>
            </w:r>
          </w:p>
        </w:tc>
        <w:tc>
          <w:tcPr>
            <w:tcW w:w="2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41,433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Creston Mascota deposit at Pinos Altos</w:t>
            </w:r>
          </w:p>
        </w:tc>
        <w:tc>
          <w:tcPr>
            <w:tcW w:w="4380" w:type="dxa"/>
            <w:vAlign w:val="bottom"/>
            <w:gridSpan w:val="3"/>
          </w:tcPr>
          <w:p>
            <w:pPr>
              <w:jc w:val="right"/>
              <w:ind w:right="140"/>
              <w:spacing w:after="0"/>
              <w:rPr>
                <w:sz w:val="20"/>
                <w:szCs w:val="20"/>
                <w:color w:val="auto"/>
              </w:rPr>
            </w:pPr>
            <w:r>
              <w:rPr>
                <w:rFonts w:ascii="Arial" w:cs="Arial" w:eastAsia="Arial" w:hAnsi="Arial"/>
                <w:sz w:val="17"/>
                <w:szCs w:val="17"/>
                <w:color w:val="auto"/>
              </w:rPr>
              <w:t>11,845</w:t>
            </w:r>
          </w:p>
        </w:tc>
        <w:tc>
          <w:tcPr>
            <w:tcW w:w="26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11,399</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La India mine</w:t>
            </w:r>
          </w:p>
        </w:tc>
        <w:tc>
          <w:tcPr>
            <w:tcW w:w="438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26,165</w:t>
            </w:r>
          </w:p>
        </w:tc>
        <w:tc>
          <w:tcPr>
            <w:tcW w:w="2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26,898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760" w:type="dxa"/>
            <w:vAlign w:val="bottom"/>
            <w:vMerge w:val="restart"/>
          </w:tcPr>
          <w:p>
            <w:pPr>
              <w:ind w:left="20"/>
              <w:spacing w:after="0"/>
              <w:rPr>
                <w:sz w:val="20"/>
                <w:szCs w:val="20"/>
                <w:color w:val="auto"/>
              </w:rPr>
            </w:pPr>
            <w:r>
              <w:rPr>
                <w:rFonts w:ascii="Arial" w:cs="Arial" w:eastAsia="Arial" w:hAnsi="Arial"/>
                <w:sz w:val="17"/>
                <w:szCs w:val="17"/>
                <w:color w:val="auto"/>
              </w:rPr>
              <w:t>Total gold (ounces)</w:t>
            </w:r>
          </w:p>
        </w:tc>
        <w:tc>
          <w:tcPr>
            <w:tcW w:w="4380" w:type="dxa"/>
            <w:vAlign w:val="bottom"/>
            <w:gridSpan w:val="3"/>
          </w:tcPr>
          <w:p>
            <w:pPr>
              <w:spacing w:after="0"/>
              <w:rPr>
                <w:sz w:val="2"/>
                <w:szCs w:val="2"/>
                <w:color w:val="auto"/>
              </w:rPr>
            </w:pPr>
          </w:p>
        </w:tc>
        <w:tc>
          <w:tcPr>
            <w:tcW w:w="26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1140" w:type="dxa"/>
            <w:vAlign w:val="bottom"/>
          </w:tcPr>
          <w:p>
            <w:pPr>
              <w:spacing w:after="0"/>
              <w:rPr>
                <w:sz w:val="18"/>
                <w:szCs w:val="18"/>
                <w:color w:val="auto"/>
              </w:rPr>
            </w:pPr>
          </w:p>
        </w:tc>
        <w:tc>
          <w:tcPr>
            <w:tcW w:w="3760" w:type="dxa"/>
            <w:vAlign w:val="bottom"/>
            <w:vMerge w:val="continue"/>
          </w:tcPr>
          <w:p>
            <w:pPr>
              <w:spacing w:after="0"/>
              <w:rPr>
                <w:sz w:val="18"/>
                <w:szCs w:val="18"/>
                <w:color w:val="auto"/>
              </w:rPr>
            </w:pPr>
          </w:p>
        </w:tc>
        <w:tc>
          <w:tcPr>
            <w:tcW w:w="3400" w:type="dxa"/>
            <w:vAlign w:val="bottom"/>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395,681</w:t>
            </w:r>
          </w:p>
        </w:tc>
        <w:tc>
          <w:tcPr>
            <w:tcW w:w="16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1"/>
              </w:rPr>
              <w:t>385,100</w:t>
            </w: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340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760" w:type="dxa"/>
            <w:vAlign w:val="bottom"/>
            <w:shd w:val="clear" w:color="auto" w:fill="CCEEFF"/>
          </w:tcPr>
          <w:p>
            <w:pPr>
              <w:ind w:left="20"/>
              <w:spacing w:after="0"/>
              <w:rPr>
                <w:sz w:val="20"/>
                <w:szCs w:val="20"/>
                <w:color w:val="auto"/>
              </w:rPr>
            </w:pPr>
            <w:r>
              <w:rPr>
                <w:rFonts w:ascii="Arial" w:cs="Arial" w:eastAsia="Arial" w:hAnsi="Arial"/>
                <w:sz w:val="17"/>
                <w:szCs w:val="17"/>
                <w:color w:val="auto"/>
              </w:rPr>
              <w:t>Silver (thousands of ounces):</w:t>
            </w:r>
          </w:p>
        </w:tc>
        <w:tc>
          <w:tcPr>
            <w:tcW w:w="340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180"/>
              <w:spacing w:after="0"/>
              <w:rPr>
                <w:sz w:val="20"/>
                <w:szCs w:val="20"/>
                <w:color w:val="auto"/>
              </w:rPr>
            </w:pPr>
            <w:r>
              <w:rPr>
                <w:rFonts w:ascii="Arial" w:cs="Arial" w:eastAsia="Arial" w:hAnsi="Arial"/>
                <w:sz w:val="17"/>
                <w:szCs w:val="17"/>
                <w:color w:val="auto"/>
              </w:rPr>
              <w:t>Northern Business</w:t>
            </w:r>
          </w:p>
        </w:tc>
        <w:tc>
          <w:tcPr>
            <w:tcW w:w="34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LaRonde mine</w:t>
            </w:r>
          </w:p>
        </w:tc>
        <w:tc>
          <w:tcPr>
            <w:tcW w:w="438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232</w:t>
            </w:r>
          </w:p>
        </w:tc>
        <w:tc>
          <w:tcPr>
            <w:tcW w:w="2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205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Lapa mine</w:t>
            </w:r>
          </w:p>
        </w:tc>
        <w:tc>
          <w:tcPr>
            <w:tcW w:w="4380" w:type="dxa"/>
            <w:vAlign w:val="bottom"/>
            <w:gridSpan w:val="3"/>
          </w:tcPr>
          <w:p>
            <w:pPr>
              <w:jc w:val="right"/>
              <w:ind w:right="140"/>
              <w:spacing w:after="0"/>
              <w:rPr>
                <w:sz w:val="20"/>
                <w:szCs w:val="20"/>
                <w:color w:val="auto"/>
              </w:rPr>
            </w:pPr>
            <w:r>
              <w:rPr>
                <w:rFonts w:ascii="Arial" w:cs="Arial" w:eastAsia="Arial" w:hAnsi="Arial"/>
                <w:sz w:val="17"/>
                <w:szCs w:val="17"/>
                <w:color w:val="auto"/>
              </w:rPr>
              <w:t>1</w:t>
            </w:r>
          </w:p>
        </w:tc>
        <w:tc>
          <w:tcPr>
            <w:tcW w:w="26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Meadowbank mine</w:t>
            </w:r>
          </w:p>
        </w:tc>
        <w:tc>
          <w:tcPr>
            <w:tcW w:w="438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43</w:t>
            </w:r>
          </w:p>
        </w:tc>
        <w:tc>
          <w:tcPr>
            <w:tcW w:w="2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98</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1"/>
                <w:szCs w:val="21"/>
                <w:color w:val="auto"/>
              </w:rPr>
            </w:pPr>
          </w:p>
        </w:tc>
        <w:tc>
          <w:tcPr>
            <w:tcW w:w="3760" w:type="dxa"/>
            <w:vAlign w:val="bottom"/>
          </w:tcPr>
          <w:p>
            <w:pPr>
              <w:ind w:left="36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(ii)(iv)</w:t>
            </w:r>
          </w:p>
        </w:tc>
        <w:tc>
          <w:tcPr>
            <w:tcW w:w="4380" w:type="dxa"/>
            <w:vAlign w:val="bottom"/>
            <w:gridSpan w:val="3"/>
          </w:tcPr>
          <w:p>
            <w:pPr>
              <w:jc w:val="right"/>
              <w:ind w:right="140"/>
              <w:spacing w:after="0"/>
              <w:rPr>
                <w:sz w:val="20"/>
                <w:szCs w:val="20"/>
                <w:color w:val="auto"/>
              </w:rPr>
            </w:pPr>
            <w:r>
              <w:rPr>
                <w:rFonts w:ascii="Arial" w:cs="Arial" w:eastAsia="Arial" w:hAnsi="Arial"/>
                <w:sz w:val="17"/>
                <w:szCs w:val="17"/>
                <w:color w:val="auto"/>
              </w:rPr>
              <w:t>73</w:t>
            </w:r>
          </w:p>
        </w:tc>
        <w:tc>
          <w:tcPr>
            <w:tcW w:w="260" w:type="dxa"/>
            <w:vAlign w:val="bottom"/>
          </w:tcPr>
          <w:p>
            <w:pPr>
              <w:spacing w:after="0"/>
              <w:rPr>
                <w:sz w:val="21"/>
                <w:szCs w:val="21"/>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54</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Kittila mine</w:t>
            </w:r>
          </w:p>
        </w:tc>
        <w:tc>
          <w:tcPr>
            <w:tcW w:w="438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3</w:t>
            </w:r>
          </w:p>
        </w:tc>
        <w:tc>
          <w:tcPr>
            <w:tcW w:w="2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180"/>
              <w:spacing w:after="0"/>
              <w:rPr>
                <w:sz w:val="20"/>
                <w:szCs w:val="20"/>
                <w:color w:val="auto"/>
              </w:rPr>
            </w:pPr>
            <w:r>
              <w:rPr>
                <w:rFonts w:ascii="Arial" w:cs="Arial" w:eastAsia="Arial" w:hAnsi="Arial"/>
                <w:sz w:val="17"/>
                <w:szCs w:val="17"/>
                <w:color w:val="auto"/>
              </w:rPr>
              <w:t>Southern Business</w:t>
            </w:r>
          </w:p>
        </w:tc>
        <w:tc>
          <w:tcPr>
            <w:tcW w:w="34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Pinos Altos mine</w:t>
            </w:r>
          </w:p>
        </w:tc>
        <w:tc>
          <w:tcPr>
            <w:tcW w:w="438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530</w:t>
            </w:r>
          </w:p>
        </w:tc>
        <w:tc>
          <w:tcPr>
            <w:tcW w:w="2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446</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tcPr>
          <w:p>
            <w:pPr>
              <w:ind w:left="360"/>
              <w:spacing w:after="0"/>
              <w:rPr>
                <w:sz w:val="20"/>
                <w:szCs w:val="20"/>
                <w:color w:val="auto"/>
              </w:rPr>
            </w:pPr>
            <w:r>
              <w:rPr>
                <w:rFonts w:ascii="Arial" w:cs="Arial" w:eastAsia="Arial" w:hAnsi="Arial"/>
                <w:sz w:val="17"/>
                <w:szCs w:val="17"/>
                <w:color w:val="auto"/>
              </w:rPr>
              <w:t>Creston Mascota deposit at Pinos Altos</w:t>
            </w:r>
          </w:p>
        </w:tc>
        <w:tc>
          <w:tcPr>
            <w:tcW w:w="4380" w:type="dxa"/>
            <w:vAlign w:val="bottom"/>
            <w:gridSpan w:val="3"/>
          </w:tcPr>
          <w:p>
            <w:pPr>
              <w:jc w:val="right"/>
              <w:ind w:right="140"/>
              <w:spacing w:after="0"/>
              <w:rPr>
                <w:sz w:val="20"/>
                <w:szCs w:val="20"/>
                <w:color w:val="auto"/>
              </w:rPr>
            </w:pPr>
            <w:r>
              <w:rPr>
                <w:rFonts w:ascii="Arial" w:cs="Arial" w:eastAsia="Arial" w:hAnsi="Arial"/>
                <w:sz w:val="17"/>
                <w:szCs w:val="17"/>
                <w:color w:val="auto"/>
              </w:rPr>
              <w:t>48</w:t>
            </w:r>
          </w:p>
        </w:tc>
        <w:tc>
          <w:tcPr>
            <w:tcW w:w="26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20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760" w:type="dxa"/>
            <w:vAlign w:val="bottom"/>
            <w:shd w:val="clear" w:color="auto" w:fill="CCEEFF"/>
          </w:tcPr>
          <w:p>
            <w:pPr>
              <w:ind w:left="360"/>
              <w:spacing w:after="0"/>
              <w:rPr>
                <w:sz w:val="20"/>
                <w:szCs w:val="20"/>
                <w:color w:val="auto"/>
              </w:rPr>
            </w:pPr>
            <w:r>
              <w:rPr>
                <w:rFonts w:ascii="Arial" w:cs="Arial" w:eastAsia="Arial" w:hAnsi="Arial"/>
                <w:sz w:val="17"/>
                <w:szCs w:val="17"/>
                <w:color w:val="auto"/>
              </w:rPr>
              <w:t>La India mine</w:t>
            </w:r>
          </w:p>
        </w:tc>
        <w:tc>
          <w:tcPr>
            <w:tcW w:w="438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86</w:t>
            </w:r>
          </w:p>
        </w:tc>
        <w:tc>
          <w:tcPr>
            <w:tcW w:w="2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63</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760" w:type="dxa"/>
            <w:vAlign w:val="bottom"/>
            <w:vMerge w:val="restart"/>
          </w:tcPr>
          <w:p>
            <w:pPr>
              <w:ind w:left="20"/>
              <w:spacing w:after="0"/>
              <w:rPr>
                <w:sz w:val="20"/>
                <w:szCs w:val="20"/>
                <w:color w:val="auto"/>
              </w:rPr>
            </w:pPr>
            <w:r>
              <w:rPr>
                <w:rFonts w:ascii="Arial" w:cs="Arial" w:eastAsia="Arial" w:hAnsi="Arial"/>
                <w:sz w:val="17"/>
                <w:szCs w:val="17"/>
                <w:color w:val="auto"/>
              </w:rPr>
              <w:t>Total silver (thousands of ounces):</w:t>
            </w:r>
          </w:p>
        </w:tc>
        <w:tc>
          <w:tcPr>
            <w:tcW w:w="4380" w:type="dxa"/>
            <w:vAlign w:val="bottom"/>
            <w:gridSpan w:val="3"/>
          </w:tcPr>
          <w:p>
            <w:pPr>
              <w:spacing w:after="0"/>
              <w:rPr>
                <w:sz w:val="2"/>
                <w:szCs w:val="2"/>
                <w:color w:val="auto"/>
              </w:rPr>
            </w:pPr>
          </w:p>
        </w:tc>
        <w:tc>
          <w:tcPr>
            <w:tcW w:w="26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1140" w:type="dxa"/>
            <w:vAlign w:val="bottom"/>
          </w:tcPr>
          <w:p>
            <w:pPr>
              <w:spacing w:after="0"/>
              <w:rPr>
                <w:sz w:val="18"/>
                <w:szCs w:val="18"/>
                <w:color w:val="auto"/>
              </w:rPr>
            </w:pPr>
          </w:p>
        </w:tc>
        <w:tc>
          <w:tcPr>
            <w:tcW w:w="3760" w:type="dxa"/>
            <w:vAlign w:val="bottom"/>
            <w:vMerge w:val="continue"/>
          </w:tcPr>
          <w:p>
            <w:pPr>
              <w:spacing w:after="0"/>
              <w:rPr>
                <w:sz w:val="18"/>
                <w:szCs w:val="18"/>
                <w:color w:val="auto"/>
              </w:rPr>
            </w:pPr>
          </w:p>
        </w:tc>
        <w:tc>
          <w:tcPr>
            <w:tcW w:w="3400" w:type="dxa"/>
            <w:vAlign w:val="bottom"/>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1,016</w:t>
            </w:r>
          </w:p>
        </w:tc>
        <w:tc>
          <w:tcPr>
            <w:tcW w:w="16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888</w:t>
            </w: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340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760" w:type="dxa"/>
            <w:vAlign w:val="bottom"/>
            <w:shd w:val="clear" w:color="auto" w:fill="CCEEFF"/>
          </w:tcPr>
          <w:p>
            <w:pPr>
              <w:ind w:left="20"/>
              <w:spacing w:after="0"/>
              <w:rPr>
                <w:sz w:val="20"/>
                <w:szCs w:val="20"/>
                <w:color w:val="auto"/>
              </w:rPr>
            </w:pPr>
            <w:r>
              <w:rPr>
                <w:rFonts w:ascii="Arial" w:cs="Arial" w:eastAsia="Arial" w:hAnsi="Arial"/>
                <w:sz w:val="17"/>
                <w:szCs w:val="17"/>
                <w:color w:val="auto"/>
              </w:rPr>
              <w:t>Zinc (tonnes)</w:t>
            </w:r>
          </w:p>
        </w:tc>
        <w:tc>
          <w:tcPr>
            <w:tcW w:w="438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605</w:t>
            </w:r>
          </w:p>
        </w:tc>
        <w:tc>
          <w:tcPr>
            <w:tcW w:w="260" w:type="dxa"/>
            <w:vAlign w:val="bottom"/>
            <w:shd w:val="clear" w:color="auto" w:fill="CCEEFF"/>
          </w:tcPr>
          <w:p>
            <w:pPr>
              <w:spacing w:after="0"/>
              <w:rPr>
                <w:sz w:val="17"/>
                <w:szCs w:val="17"/>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1,264</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3760" w:type="dxa"/>
            <w:vAlign w:val="bottom"/>
          </w:tcPr>
          <w:p>
            <w:pPr>
              <w:ind w:left="20"/>
              <w:spacing w:after="0"/>
              <w:rPr>
                <w:sz w:val="20"/>
                <w:szCs w:val="20"/>
                <w:color w:val="auto"/>
              </w:rPr>
            </w:pPr>
            <w:r>
              <w:rPr>
                <w:rFonts w:ascii="Arial" w:cs="Arial" w:eastAsia="Arial" w:hAnsi="Arial"/>
                <w:sz w:val="17"/>
                <w:szCs w:val="17"/>
                <w:color w:val="auto"/>
              </w:rPr>
              <w:t>Copper (tonnes)</w:t>
            </w:r>
          </w:p>
        </w:tc>
        <w:tc>
          <w:tcPr>
            <w:tcW w:w="4380" w:type="dxa"/>
            <w:vAlign w:val="bottom"/>
            <w:gridSpan w:val="3"/>
          </w:tcPr>
          <w:p>
            <w:pPr>
              <w:jc w:val="right"/>
              <w:ind w:right="140"/>
              <w:spacing w:after="0"/>
              <w:rPr>
                <w:sz w:val="20"/>
                <w:szCs w:val="20"/>
                <w:color w:val="auto"/>
              </w:rPr>
            </w:pPr>
            <w:r>
              <w:rPr>
                <w:rFonts w:ascii="Arial" w:cs="Arial" w:eastAsia="Arial" w:hAnsi="Arial"/>
                <w:sz w:val="17"/>
                <w:szCs w:val="17"/>
                <w:color w:val="auto"/>
              </w:rPr>
              <w:t>1,156</w:t>
            </w:r>
          </w:p>
        </w:tc>
        <w:tc>
          <w:tcPr>
            <w:tcW w:w="26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1,160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1"/>
        </w:trPr>
        <w:tc>
          <w:tcPr>
            <w:tcW w:w="114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3400" w:type="dxa"/>
            <w:vAlign w:val="bottom"/>
          </w:tcPr>
          <w:p>
            <w:pPr>
              <w:jc w:val="right"/>
              <w:ind w:right="2415"/>
              <w:spacing w:after="0"/>
              <w:rPr>
                <w:sz w:val="20"/>
                <w:szCs w:val="20"/>
                <w:color w:val="auto"/>
              </w:rPr>
            </w:pPr>
            <w:r>
              <w:rPr>
                <w:rFonts w:ascii="Arial" w:cs="Arial" w:eastAsia="Arial" w:hAnsi="Arial"/>
                <w:sz w:val="17"/>
                <w:szCs w:val="17"/>
                <w:color w:val="auto"/>
              </w:rPr>
              <w:t>22</w:t>
            </w: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3760" w:type="dxa"/>
            <w:vAlign w:val="bottom"/>
            <w:tcBorders>
              <w:bottom w:val="single" w:sz="8" w:color="808080"/>
            </w:tcBorders>
          </w:tcPr>
          <w:p>
            <w:pPr>
              <w:spacing w:after="0"/>
              <w:rPr>
                <w:sz w:val="19"/>
                <w:szCs w:val="19"/>
                <w:color w:val="auto"/>
              </w:rPr>
            </w:pPr>
          </w:p>
        </w:tc>
        <w:tc>
          <w:tcPr>
            <w:tcW w:w="340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60" w:type="dxa"/>
            <w:vAlign w:val="bottom"/>
            <w:tcBorders>
              <w:bottom w:val="single" w:sz="8" w:color="808080"/>
            </w:tcBorders>
          </w:tcPr>
          <w:p>
            <w:pPr>
              <w:spacing w:after="0"/>
              <w:rPr>
                <w:sz w:val="19"/>
                <w:szCs w:val="19"/>
                <w:color w:val="auto"/>
              </w:rPr>
            </w:pPr>
          </w:p>
        </w:tc>
        <w:tc>
          <w:tcPr>
            <w:tcW w:w="58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6" w:name="page27"/>
    <w:bookmarkEnd w:id="26"/>
    <w:p>
      <w:pPr>
        <w:jc w:val="center"/>
        <w:ind w:right="1140"/>
        <w:spacing w:after="0" w:line="272" w:lineRule="auto"/>
        <w:rPr>
          <w:sz w:val="20"/>
          <w:szCs w:val="20"/>
          <w:color w:val="auto"/>
        </w:rPr>
      </w:pPr>
      <w:r>
        <w:rPr>
          <w:rFonts w:ascii="Arial" w:cs="Arial" w:eastAsia="Arial" w:hAnsi="Arial"/>
          <w:sz w:val="17"/>
          <w:szCs w:val="17"/>
          <w:b w:val="1"/>
          <w:bCs w:val="1"/>
          <w:color w:val="auto"/>
        </w:rPr>
        <w:t>AGNICO EAGLE MINES LIMITED SUMMARY OF OPERATIONS KEY PERFORMANCE INDICATORS (thousands of United States dollars, except where noted)</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6020" w:type="dxa"/>
            <w:vAlign w:val="bottom"/>
          </w:tcPr>
          <w:p>
            <w:pPr>
              <w:spacing w:after="0"/>
              <w:rPr>
                <w:sz w:val="13"/>
                <w:szCs w:val="13"/>
                <w:color w:val="auto"/>
              </w:rPr>
            </w:pPr>
          </w:p>
        </w:tc>
        <w:tc>
          <w:tcPr>
            <w:tcW w:w="1540" w:type="dxa"/>
            <w:vAlign w:val="bottom"/>
            <w:gridSpan w:val="5"/>
          </w:tcPr>
          <w:p>
            <w:pPr>
              <w:jc w:val="right"/>
              <w:spacing w:after="0"/>
              <w:rPr>
                <w:sz w:val="20"/>
                <w:szCs w:val="20"/>
                <w:color w:val="auto"/>
              </w:rPr>
            </w:pPr>
            <w:r>
              <w:rPr>
                <w:rFonts w:ascii="Arial" w:cs="Arial" w:eastAsia="Arial" w:hAnsi="Arial"/>
                <w:sz w:val="13"/>
                <w:szCs w:val="13"/>
                <w:b w:val="1"/>
                <w:bCs w:val="1"/>
                <w:color w:val="auto"/>
              </w:rPr>
              <w:t>Three Months Ended</w:t>
            </w:r>
          </w:p>
        </w:tc>
        <w:tc>
          <w:tcPr>
            <w:tcW w:w="2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6020" w:type="dxa"/>
            <w:vAlign w:val="bottom"/>
          </w:tcPr>
          <w:p>
            <w:pPr>
              <w:spacing w:after="0"/>
              <w:rPr>
                <w:sz w:val="13"/>
                <w:szCs w:val="13"/>
                <w:color w:val="auto"/>
              </w:rPr>
            </w:pPr>
          </w:p>
        </w:tc>
        <w:tc>
          <w:tcPr>
            <w:tcW w:w="560" w:type="dxa"/>
            <w:vAlign w:val="bottom"/>
            <w:tcBorders>
              <w:bottom w:val="single" w:sz="8" w:color="auto"/>
            </w:tcBorders>
          </w:tcPr>
          <w:p>
            <w:pPr>
              <w:spacing w:after="0"/>
              <w:rPr>
                <w:sz w:val="13"/>
                <w:szCs w:val="13"/>
                <w:color w:val="auto"/>
              </w:rPr>
            </w:pPr>
          </w:p>
        </w:tc>
        <w:tc>
          <w:tcPr>
            <w:tcW w:w="980" w:type="dxa"/>
            <w:vAlign w:val="bottom"/>
            <w:tcBorders>
              <w:bottom w:val="single" w:sz="8" w:color="auto"/>
            </w:tcBorders>
            <w:gridSpan w:val="4"/>
          </w:tcPr>
          <w:p>
            <w:pPr>
              <w:ind w:left="60"/>
              <w:spacing w:after="0"/>
              <w:rPr>
                <w:sz w:val="20"/>
                <w:szCs w:val="20"/>
                <w:color w:val="auto"/>
              </w:rPr>
            </w:pPr>
            <w:r>
              <w:rPr>
                <w:rFonts w:ascii="Arial" w:cs="Arial" w:eastAsia="Arial" w:hAnsi="Arial"/>
                <w:sz w:val="13"/>
                <w:szCs w:val="13"/>
                <w:b w:val="1"/>
                <w:bCs w:val="1"/>
                <w:color w:val="auto"/>
              </w:rPr>
              <w:t>March 31,</w:t>
            </w:r>
          </w:p>
        </w:tc>
        <w:tc>
          <w:tcPr>
            <w:tcW w:w="28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1140" w:type="dxa"/>
            <w:vAlign w:val="bottom"/>
          </w:tcPr>
          <w:p>
            <w:pPr>
              <w:spacing w:after="0"/>
              <w:rPr>
                <w:sz w:val="11"/>
                <w:szCs w:val="11"/>
                <w:color w:val="auto"/>
              </w:rPr>
            </w:pPr>
          </w:p>
        </w:tc>
        <w:tc>
          <w:tcPr>
            <w:tcW w:w="6020" w:type="dxa"/>
            <w:vAlign w:val="bottom"/>
          </w:tcPr>
          <w:p>
            <w:pPr>
              <w:spacing w:after="0"/>
              <w:rPr>
                <w:sz w:val="11"/>
                <w:szCs w:val="11"/>
                <w:color w:val="auto"/>
              </w:rPr>
            </w:pPr>
          </w:p>
        </w:tc>
        <w:tc>
          <w:tcPr>
            <w:tcW w:w="560" w:type="dxa"/>
            <w:vAlign w:val="bottom"/>
            <w:tcBorders>
              <w:bottom w:val="single" w:sz="8" w:color="auto"/>
            </w:tcBorders>
          </w:tcPr>
          <w:p>
            <w:pPr>
              <w:jc w:val="right"/>
              <w:spacing w:after="0" w:line="138" w:lineRule="exact"/>
              <w:rPr>
                <w:sz w:val="20"/>
                <w:szCs w:val="20"/>
                <w:color w:val="auto"/>
              </w:rPr>
            </w:pPr>
            <w:r>
              <w:rPr>
                <w:rFonts w:ascii="Arial" w:cs="Arial" w:eastAsia="Arial" w:hAnsi="Arial"/>
                <w:sz w:val="13"/>
                <w:szCs w:val="13"/>
                <w:b w:val="1"/>
                <w:bCs w:val="1"/>
                <w:color w:val="auto"/>
              </w:rPr>
              <w:t>2016</w:t>
            </w:r>
          </w:p>
        </w:tc>
        <w:tc>
          <w:tcPr>
            <w:tcW w:w="260" w:type="dxa"/>
            <w:vAlign w:val="bottom"/>
            <w:tcBorders>
              <w:bottom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60" w:type="dxa"/>
            <w:vAlign w:val="bottom"/>
            <w:tcBorders>
              <w:bottom w:val="single" w:sz="8" w:color="auto"/>
            </w:tcBorders>
          </w:tcPr>
          <w:p>
            <w:pPr>
              <w:jc w:val="right"/>
              <w:spacing w:after="0" w:line="138" w:lineRule="exact"/>
              <w:rPr>
                <w:sz w:val="20"/>
                <w:szCs w:val="20"/>
                <w:color w:val="auto"/>
              </w:rPr>
            </w:pPr>
            <w:r>
              <w:rPr>
                <w:rFonts w:ascii="Arial" w:cs="Arial" w:eastAsia="Arial" w:hAnsi="Arial"/>
                <w:sz w:val="13"/>
                <w:szCs w:val="13"/>
                <w:b w:val="1"/>
                <w:bCs w:val="1"/>
                <w:color w:val="auto"/>
              </w:rPr>
              <w:t>2015</w:t>
            </w:r>
          </w:p>
        </w:tc>
        <w:tc>
          <w:tcPr>
            <w:tcW w:w="280" w:type="dxa"/>
            <w:vAlign w:val="bottom"/>
            <w:tcBorders>
              <w:bottom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42"/>
        </w:trPr>
        <w:tc>
          <w:tcPr>
            <w:tcW w:w="7160" w:type="dxa"/>
            <w:vAlign w:val="bottom"/>
            <w:gridSpan w:val="2"/>
            <w:shd w:val="clear" w:color="auto" w:fill="CCEEFF"/>
          </w:tcPr>
          <w:p>
            <w:pPr>
              <w:ind w:left="20"/>
              <w:spacing w:after="0" w:line="242" w:lineRule="exact"/>
              <w:rPr>
                <w:sz w:val="20"/>
                <w:szCs w:val="20"/>
                <w:color w:val="auto"/>
              </w:rPr>
            </w:pPr>
            <w:r>
              <w:rPr>
                <w:rFonts w:ascii="Arial" w:cs="Arial" w:eastAsia="Arial" w:hAnsi="Arial"/>
                <w:sz w:val="17"/>
                <w:szCs w:val="17"/>
                <w:b w:val="1"/>
                <w:bCs w:val="1"/>
                <w:color w:val="auto"/>
              </w:rPr>
              <w:t>Total cash costs per ounce of gold produced — co-product basis (US$)</w:t>
            </w:r>
            <w:r>
              <w:rPr>
                <w:rFonts w:ascii="Arial" w:cs="Arial" w:eastAsia="Arial" w:hAnsi="Arial"/>
                <w:sz w:val="28"/>
                <w:szCs w:val="28"/>
                <w:b w:val="1"/>
                <w:bCs w:val="1"/>
                <w:color w:val="auto"/>
                <w:vertAlign w:val="superscript"/>
              </w:rPr>
              <w:t>(v)</w:t>
            </w:r>
            <w:r>
              <w:rPr>
                <w:rFonts w:ascii="Arial" w:cs="Arial" w:eastAsia="Arial" w:hAnsi="Arial"/>
                <w:sz w:val="17"/>
                <w:szCs w:val="17"/>
                <w:b w:val="1"/>
                <w:bCs w:val="1"/>
                <w:color w:val="auto"/>
              </w:rPr>
              <w:t>:</w:t>
            </w:r>
          </w:p>
        </w:tc>
        <w:tc>
          <w:tcPr>
            <w:tcW w:w="56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56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7160" w:type="dxa"/>
            <w:vAlign w:val="bottom"/>
            <w:gridSpan w:val="2"/>
          </w:tcPr>
          <w:p>
            <w:pPr>
              <w:ind w:left="20"/>
              <w:spacing w:after="0"/>
              <w:rPr>
                <w:sz w:val="20"/>
                <w:szCs w:val="20"/>
                <w:color w:val="auto"/>
              </w:rPr>
            </w:pPr>
            <w:r>
              <w:rPr>
                <w:rFonts w:ascii="Arial" w:cs="Arial" w:eastAsia="Arial" w:hAnsi="Arial"/>
                <w:sz w:val="17"/>
                <w:szCs w:val="17"/>
                <w:color w:val="auto"/>
              </w:rPr>
              <w:t>Northern Business</w:t>
            </w:r>
          </w:p>
        </w:tc>
        <w:tc>
          <w:tcPr>
            <w:tcW w:w="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1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LaRonde mine</w:t>
            </w:r>
          </w:p>
        </w:tc>
        <w:tc>
          <w:tcPr>
            <w:tcW w:w="560" w:type="dxa"/>
            <w:vAlign w:val="bottom"/>
            <w:shd w:val="clear" w:color="auto" w:fill="CCEEFF"/>
          </w:tcPr>
          <w:p>
            <w:pPr>
              <w:jc w:val="right"/>
              <w:ind w:right="381"/>
              <w:spacing w:after="0"/>
              <w:rPr>
                <w:sz w:val="20"/>
                <w:szCs w:val="20"/>
                <w:color w:val="auto"/>
              </w:rPr>
            </w:pPr>
            <w:r>
              <w:rPr>
                <w:rFonts w:ascii="Arial" w:cs="Arial" w:eastAsia="Arial" w:hAnsi="Arial"/>
                <w:sz w:val="17"/>
                <w:szCs w:val="17"/>
                <w:color w:val="auto"/>
                <w:w w:val="84"/>
              </w:rPr>
              <w:t>$</w:t>
            </w:r>
          </w:p>
        </w:tc>
        <w:tc>
          <w:tcPr>
            <w:tcW w:w="28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w w:val="84"/>
              </w:rPr>
              <w:t>670</w:t>
            </w: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jc w:val="right"/>
              <w:ind w:right="379"/>
              <w:spacing w:after="0"/>
              <w:rPr>
                <w:sz w:val="20"/>
                <w:szCs w:val="20"/>
                <w:color w:val="auto"/>
              </w:rPr>
            </w:pPr>
            <w:r>
              <w:rPr>
                <w:rFonts w:ascii="Arial" w:cs="Arial" w:eastAsia="Arial" w:hAnsi="Arial"/>
                <w:sz w:val="17"/>
                <w:szCs w:val="17"/>
                <w:color w:val="auto"/>
                <w:w w:val="84"/>
              </w:rPr>
              <w:t>$</w:t>
            </w: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892</w:t>
            </w:r>
          </w:p>
        </w:tc>
        <w:tc>
          <w:tcPr>
            <w:tcW w:w="0" w:type="dxa"/>
            <w:vAlign w:val="bottom"/>
          </w:tcPr>
          <w:p>
            <w:pPr>
              <w:spacing w:after="0"/>
              <w:rPr>
                <w:sz w:val="1"/>
                <w:szCs w:val="1"/>
                <w:color w:val="auto"/>
              </w:rPr>
            </w:pPr>
          </w:p>
        </w:tc>
      </w:tr>
      <w:tr>
        <w:trPr>
          <w:trHeight w:val="210"/>
        </w:trPr>
        <w:tc>
          <w:tcPr>
            <w:tcW w:w="7160" w:type="dxa"/>
            <w:vAlign w:val="bottom"/>
            <w:gridSpan w:val="2"/>
          </w:tcPr>
          <w:p>
            <w:pPr>
              <w:ind w:left="180"/>
              <w:spacing w:after="0"/>
              <w:rPr>
                <w:sz w:val="20"/>
                <w:szCs w:val="20"/>
                <w:color w:val="auto"/>
              </w:rPr>
            </w:pPr>
            <w:r>
              <w:rPr>
                <w:rFonts w:ascii="Arial" w:cs="Arial" w:eastAsia="Arial" w:hAnsi="Arial"/>
                <w:sz w:val="17"/>
                <w:szCs w:val="17"/>
                <w:color w:val="auto"/>
              </w:rPr>
              <w:t>Lapa mine</w:t>
            </w:r>
          </w:p>
        </w:tc>
        <w:tc>
          <w:tcPr>
            <w:tcW w:w="560" w:type="dxa"/>
            <w:vAlign w:val="bottom"/>
          </w:tcPr>
          <w:p>
            <w:pPr>
              <w:spacing w:after="0"/>
              <w:rPr>
                <w:sz w:val="18"/>
                <w:szCs w:val="18"/>
                <w:color w:val="auto"/>
              </w:rPr>
            </w:pPr>
          </w:p>
        </w:tc>
        <w:tc>
          <w:tcPr>
            <w:tcW w:w="280" w:type="dxa"/>
            <w:vAlign w:val="bottom"/>
            <w:gridSpan w:val="2"/>
          </w:tcPr>
          <w:p>
            <w:pPr>
              <w:ind w:left="20"/>
              <w:spacing w:after="0"/>
              <w:rPr>
                <w:sz w:val="20"/>
                <w:szCs w:val="20"/>
                <w:color w:val="auto"/>
              </w:rPr>
            </w:pPr>
            <w:r>
              <w:rPr>
                <w:rFonts w:ascii="Arial" w:cs="Arial" w:eastAsia="Arial" w:hAnsi="Arial"/>
                <w:sz w:val="17"/>
                <w:szCs w:val="17"/>
                <w:color w:val="auto"/>
                <w:w w:val="84"/>
              </w:rPr>
              <w:t>668</w:t>
            </w: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568</w:t>
            </w:r>
          </w:p>
        </w:tc>
        <w:tc>
          <w:tcPr>
            <w:tcW w:w="0" w:type="dxa"/>
            <w:vAlign w:val="bottom"/>
          </w:tcPr>
          <w:p>
            <w:pPr>
              <w:spacing w:after="0"/>
              <w:rPr>
                <w:sz w:val="1"/>
                <w:szCs w:val="1"/>
                <w:color w:val="auto"/>
              </w:rPr>
            </w:pPr>
          </w:p>
        </w:tc>
      </w:tr>
      <w:tr>
        <w:trPr>
          <w:trHeight w:val="210"/>
        </w:trPr>
        <w:tc>
          <w:tcPr>
            <w:tcW w:w="71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Goldex mine</w:t>
            </w:r>
          </w:p>
        </w:tc>
        <w:tc>
          <w:tcPr>
            <w:tcW w:w="560" w:type="dxa"/>
            <w:vAlign w:val="bottom"/>
            <w:shd w:val="clear" w:color="auto" w:fill="CCEEFF"/>
          </w:tcPr>
          <w:p>
            <w:pPr>
              <w:spacing w:after="0"/>
              <w:rPr>
                <w:sz w:val="18"/>
                <w:szCs w:val="18"/>
                <w:color w:val="auto"/>
              </w:rPr>
            </w:pPr>
          </w:p>
        </w:tc>
        <w:tc>
          <w:tcPr>
            <w:tcW w:w="28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w w:val="84"/>
              </w:rPr>
              <w:t>506</w:t>
            </w: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542</w:t>
            </w:r>
          </w:p>
        </w:tc>
        <w:tc>
          <w:tcPr>
            <w:tcW w:w="0" w:type="dxa"/>
            <w:vAlign w:val="bottom"/>
          </w:tcPr>
          <w:p>
            <w:pPr>
              <w:spacing w:after="0"/>
              <w:rPr>
                <w:sz w:val="1"/>
                <w:szCs w:val="1"/>
                <w:color w:val="auto"/>
              </w:rPr>
            </w:pPr>
          </w:p>
        </w:tc>
      </w:tr>
      <w:tr>
        <w:trPr>
          <w:trHeight w:val="210"/>
        </w:trPr>
        <w:tc>
          <w:tcPr>
            <w:tcW w:w="7160" w:type="dxa"/>
            <w:vAlign w:val="bottom"/>
            <w:gridSpan w:val="2"/>
          </w:tcPr>
          <w:p>
            <w:pPr>
              <w:ind w:left="180"/>
              <w:spacing w:after="0"/>
              <w:rPr>
                <w:sz w:val="20"/>
                <w:szCs w:val="20"/>
                <w:color w:val="auto"/>
              </w:rPr>
            </w:pPr>
            <w:r>
              <w:rPr>
                <w:rFonts w:ascii="Arial" w:cs="Arial" w:eastAsia="Arial" w:hAnsi="Arial"/>
                <w:sz w:val="17"/>
                <w:szCs w:val="17"/>
                <w:color w:val="auto"/>
              </w:rPr>
              <w:t>Meadowbank mine</w:t>
            </w:r>
          </w:p>
        </w:tc>
        <w:tc>
          <w:tcPr>
            <w:tcW w:w="560" w:type="dxa"/>
            <w:vAlign w:val="bottom"/>
          </w:tcPr>
          <w:p>
            <w:pPr>
              <w:spacing w:after="0"/>
              <w:rPr>
                <w:sz w:val="18"/>
                <w:szCs w:val="18"/>
                <w:color w:val="auto"/>
              </w:rPr>
            </w:pPr>
          </w:p>
        </w:tc>
        <w:tc>
          <w:tcPr>
            <w:tcW w:w="280" w:type="dxa"/>
            <w:vAlign w:val="bottom"/>
            <w:gridSpan w:val="2"/>
          </w:tcPr>
          <w:p>
            <w:pPr>
              <w:ind w:left="20"/>
              <w:spacing w:after="0"/>
              <w:rPr>
                <w:sz w:val="20"/>
                <w:szCs w:val="20"/>
                <w:color w:val="auto"/>
              </w:rPr>
            </w:pPr>
            <w:r>
              <w:rPr>
                <w:rFonts w:ascii="Arial" w:cs="Arial" w:eastAsia="Arial" w:hAnsi="Arial"/>
                <w:sz w:val="17"/>
                <w:szCs w:val="17"/>
                <w:color w:val="auto"/>
                <w:w w:val="84"/>
              </w:rPr>
              <w:t>797</w:t>
            </w: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674</w:t>
            </w:r>
          </w:p>
        </w:tc>
        <w:tc>
          <w:tcPr>
            <w:tcW w:w="0" w:type="dxa"/>
            <w:vAlign w:val="bottom"/>
          </w:tcPr>
          <w:p>
            <w:pPr>
              <w:spacing w:after="0"/>
              <w:rPr>
                <w:sz w:val="1"/>
                <w:szCs w:val="1"/>
                <w:color w:val="auto"/>
              </w:rPr>
            </w:pPr>
          </w:p>
        </w:tc>
      </w:tr>
      <w:tr>
        <w:trPr>
          <w:trHeight w:val="249"/>
        </w:trPr>
        <w:tc>
          <w:tcPr>
            <w:tcW w:w="7160" w:type="dxa"/>
            <w:vAlign w:val="bottom"/>
            <w:gridSpan w:val="2"/>
            <w:shd w:val="clear" w:color="auto" w:fill="CCEEFF"/>
          </w:tcPr>
          <w:p>
            <w:pPr>
              <w:ind w:left="18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w:t>
            </w:r>
          </w:p>
        </w:tc>
        <w:tc>
          <w:tcPr>
            <w:tcW w:w="560" w:type="dxa"/>
            <w:vAlign w:val="bottom"/>
            <w:shd w:val="clear" w:color="auto" w:fill="CCEEFF"/>
          </w:tcPr>
          <w:p>
            <w:pPr>
              <w:spacing w:after="0"/>
              <w:rPr>
                <w:sz w:val="21"/>
                <w:szCs w:val="21"/>
                <w:color w:val="auto"/>
              </w:rPr>
            </w:pPr>
          </w:p>
        </w:tc>
        <w:tc>
          <w:tcPr>
            <w:tcW w:w="28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w w:val="84"/>
              </w:rPr>
              <w:t>572</w:t>
            </w:r>
          </w:p>
        </w:tc>
        <w:tc>
          <w:tcPr>
            <w:tcW w:w="140" w:type="dxa"/>
            <w:vAlign w:val="bottom"/>
            <w:shd w:val="clear" w:color="auto" w:fill="CCEEFF"/>
          </w:tcPr>
          <w:p>
            <w:pPr>
              <w:spacing w:after="0"/>
              <w:rPr>
                <w:sz w:val="21"/>
                <w:szCs w:val="21"/>
                <w:color w:val="auto"/>
              </w:rPr>
            </w:pPr>
          </w:p>
        </w:tc>
        <w:tc>
          <w:tcPr>
            <w:tcW w:w="560" w:type="dxa"/>
            <w:vAlign w:val="bottom"/>
            <w:shd w:val="clear" w:color="auto" w:fill="CCEEFF"/>
          </w:tcPr>
          <w:p>
            <w:pPr>
              <w:spacing w:after="0"/>
              <w:rPr>
                <w:sz w:val="21"/>
                <w:szCs w:val="21"/>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649</w:t>
            </w:r>
          </w:p>
        </w:tc>
        <w:tc>
          <w:tcPr>
            <w:tcW w:w="0" w:type="dxa"/>
            <w:vAlign w:val="bottom"/>
          </w:tcPr>
          <w:p>
            <w:pPr>
              <w:spacing w:after="0"/>
              <w:rPr>
                <w:sz w:val="1"/>
                <w:szCs w:val="1"/>
                <w:color w:val="auto"/>
              </w:rPr>
            </w:pPr>
          </w:p>
        </w:tc>
      </w:tr>
      <w:tr>
        <w:trPr>
          <w:trHeight w:val="210"/>
        </w:trPr>
        <w:tc>
          <w:tcPr>
            <w:tcW w:w="7160" w:type="dxa"/>
            <w:vAlign w:val="bottom"/>
            <w:gridSpan w:val="2"/>
          </w:tcPr>
          <w:p>
            <w:pPr>
              <w:ind w:left="180"/>
              <w:spacing w:after="0"/>
              <w:rPr>
                <w:sz w:val="20"/>
                <w:szCs w:val="20"/>
                <w:color w:val="auto"/>
              </w:rPr>
            </w:pPr>
            <w:r>
              <w:rPr>
                <w:rFonts w:ascii="Arial" w:cs="Arial" w:eastAsia="Arial" w:hAnsi="Arial"/>
                <w:sz w:val="17"/>
                <w:szCs w:val="17"/>
                <w:color w:val="auto"/>
              </w:rPr>
              <w:t>Kittila mine</w:t>
            </w:r>
          </w:p>
        </w:tc>
        <w:tc>
          <w:tcPr>
            <w:tcW w:w="560" w:type="dxa"/>
            <w:vAlign w:val="bottom"/>
          </w:tcPr>
          <w:p>
            <w:pPr>
              <w:spacing w:after="0"/>
              <w:rPr>
                <w:sz w:val="18"/>
                <w:szCs w:val="18"/>
                <w:color w:val="auto"/>
              </w:rPr>
            </w:pPr>
          </w:p>
        </w:tc>
        <w:tc>
          <w:tcPr>
            <w:tcW w:w="280" w:type="dxa"/>
            <w:vAlign w:val="bottom"/>
            <w:gridSpan w:val="2"/>
          </w:tcPr>
          <w:p>
            <w:pPr>
              <w:ind w:left="20"/>
              <w:spacing w:after="0"/>
              <w:rPr>
                <w:sz w:val="20"/>
                <w:szCs w:val="20"/>
                <w:color w:val="auto"/>
              </w:rPr>
            </w:pPr>
            <w:r>
              <w:rPr>
                <w:rFonts w:ascii="Arial" w:cs="Arial" w:eastAsia="Arial" w:hAnsi="Arial"/>
                <w:sz w:val="17"/>
                <w:szCs w:val="17"/>
                <w:color w:val="auto"/>
                <w:w w:val="84"/>
              </w:rPr>
              <w:t>727</w:t>
            </w: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682</w:t>
            </w:r>
          </w:p>
        </w:tc>
        <w:tc>
          <w:tcPr>
            <w:tcW w:w="0" w:type="dxa"/>
            <w:vAlign w:val="bottom"/>
          </w:tcPr>
          <w:p>
            <w:pPr>
              <w:spacing w:after="0"/>
              <w:rPr>
                <w:sz w:val="1"/>
                <w:szCs w:val="1"/>
                <w:color w:val="auto"/>
              </w:rPr>
            </w:pPr>
          </w:p>
        </w:tc>
      </w:tr>
      <w:tr>
        <w:trPr>
          <w:trHeight w:val="210"/>
        </w:trPr>
        <w:tc>
          <w:tcPr>
            <w:tcW w:w="71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Southern Business</w:t>
            </w:r>
          </w:p>
        </w:tc>
        <w:tc>
          <w:tcPr>
            <w:tcW w:w="5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160" w:type="dxa"/>
            <w:vAlign w:val="bottom"/>
            <w:gridSpan w:val="2"/>
          </w:tcPr>
          <w:p>
            <w:pPr>
              <w:ind w:left="180"/>
              <w:spacing w:after="0"/>
              <w:rPr>
                <w:sz w:val="20"/>
                <w:szCs w:val="20"/>
                <w:color w:val="auto"/>
              </w:rPr>
            </w:pPr>
            <w:r>
              <w:rPr>
                <w:rFonts w:ascii="Arial" w:cs="Arial" w:eastAsia="Arial" w:hAnsi="Arial"/>
                <w:sz w:val="17"/>
                <w:szCs w:val="17"/>
                <w:color w:val="auto"/>
              </w:rPr>
              <w:t>Pinos Altos mine</w:t>
            </w:r>
          </w:p>
        </w:tc>
        <w:tc>
          <w:tcPr>
            <w:tcW w:w="560" w:type="dxa"/>
            <w:vAlign w:val="bottom"/>
          </w:tcPr>
          <w:p>
            <w:pPr>
              <w:spacing w:after="0"/>
              <w:rPr>
                <w:sz w:val="18"/>
                <w:szCs w:val="18"/>
                <w:color w:val="auto"/>
              </w:rPr>
            </w:pPr>
          </w:p>
        </w:tc>
        <w:tc>
          <w:tcPr>
            <w:tcW w:w="280" w:type="dxa"/>
            <w:vAlign w:val="bottom"/>
            <w:gridSpan w:val="2"/>
          </w:tcPr>
          <w:p>
            <w:pPr>
              <w:ind w:left="20"/>
              <w:spacing w:after="0"/>
              <w:rPr>
                <w:sz w:val="20"/>
                <w:szCs w:val="20"/>
                <w:color w:val="auto"/>
              </w:rPr>
            </w:pPr>
            <w:r>
              <w:rPr>
                <w:rFonts w:ascii="Arial" w:cs="Arial" w:eastAsia="Arial" w:hAnsi="Arial"/>
                <w:sz w:val="17"/>
                <w:szCs w:val="17"/>
                <w:color w:val="auto"/>
                <w:w w:val="84"/>
              </w:rPr>
              <w:t>530</w:t>
            </w: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548</w:t>
            </w:r>
          </w:p>
        </w:tc>
        <w:tc>
          <w:tcPr>
            <w:tcW w:w="0" w:type="dxa"/>
            <w:vAlign w:val="bottom"/>
          </w:tcPr>
          <w:p>
            <w:pPr>
              <w:spacing w:after="0"/>
              <w:rPr>
                <w:sz w:val="1"/>
                <w:szCs w:val="1"/>
                <w:color w:val="auto"/>
              </w:rPr>
            </w:pPr>
          </w:p>
        </w:tc>
      </w:tr>
      <w:tr>
        <w:trPr>
          <w:trHeight w:val="210"/>
        </w:trPr>
        <w:tc>
          <w:tcPr>
            <w:tcW w:w="71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Creston Mascota deposit at Pinos Altos</w:t>
            </w:r>
          </w:p>
        </w:tc>
        <w:tc>
          <w:tcPr>
            <w:tcW w:w="560" w:type="dxa"/>
            <w:vAlign w:val="bottom"/>
            <w:shd w:val="clear" w:color="auto" w:fill="CCEEFF"/>
          </w:tcPr>
          <w:p>
            <w:pPr>
              <w:spacing w:after="0"/>
              <w:rPr>
                <w:sz w:val="18"/>
                <w:szCs w:val="18"/>
                <w:color w:val="auto"/>
              </w:rPr>
            </w:pPr>
          </w:p>
        </w:tc>
        <w:tc>
          <w:tcPr>
            <w:tcW w:w="28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w w:val="84"/>
              </w:rPr>
              <w:t>527</w:t>
            </w: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488</w:t>
            </w:r>
          </w:p>
        </w:tc>
        <w:tc>
          <w:tcPr>
            <w:tcW w:w="0" w:type="dxa"/>
            <w:vAlign w:val="bottom"/>
          </w:tcPr>
          <w:p>
            <w:pPr>
              <w:spacing w:after="0"/>
              <w:rPr>
                <w:sz w:val="1"/>
                <w:szCs w:val="1"/>
                <w:color w:val="auto"/>
              </w:rPr>
            </w:pPr>
          </w:p>
        </w:tc>
      </w:tr>
      <w:tr>
        <w:trPr>
          <w:trHeight w:val="216"/>
        </w:trPr>
        <w:tc>
          <w:tcPr>
            <w:tcW w:w="7160" w:type="dxa"/>
            <w:vAlign w:val="bottom"/>
            <w:gridSpan w:val="2"/>
          </w:tcPr>
          <w:p>
            <w:pPr>
              <w:ind w:left="180"/>
              <w:spacing w:after="0"/>
              <w:rPr>
                <w:sz w:val="20"/>
                <w:szCs w:val="20"/>
                <w:color w:val="auto"/>
              </w:rPr>
            </w:pPr>
            <w:r>
              <w:rPr>
                <w:rFonts w:ascii="Arial" w:cs="Arial" w:eastAsia="Arial" w:hAnsi="Arial"/>
                <w:sz w:val="17"/>
                <w:szCs w:val="17"/>
                <w:color w:val="auto"/>
              </w:rPr>
              <w:t>La India mine</w:t>
            </w:r>
          </w:p>
        </w:tc>
        <w:tc>
          <w:tcPr>
            <w:tcW w:w="560" w:type="dxa"/>
            <w:vAlign w:val="bottom"/>
          </w:tcPr>
          <w:p>
            <w:pPr>
              <w:spacing w:after="0"/>
              <w:rPr>
                <w:sz w:val="18"/>
                <w:szCs w:val="18"/>
                <w:color w:val="auto"/>
              </w:rPr>
            </w:pPr>
          </w:p>
        </w:tc>
        <w:tc>
          <w:tcPr>
            <w:tcW w:w="280" w:type="dxa"/>
            <w:vAlign w:val="bottom"/>
            <w:gridSpan w:val="2"/>
          </w:tcPr>
          <w:p>
            <w:pPr>
              <w:ind w:left="20"/>
              <w:spacing w:after="0"/>
              <w:rPr>
                <w:sz w:val="20"/>
                <w:szCs w:val="20"/>
                <w:color w:val="auto"/>
              </w:rPr>
            </w:pPr>
            <w:r>
              <w:rPr>
                <w:rFonts w:ascii="Arial" w:cs="Arial" w:eastAsia="Arial" w:hAnsi="Arial"/>
                <w:sz w:val="17"/>
                <w:szCs w:val="17"/>
                <w:color w:val="auto"/>
                <w:w w:val="84"/>
              </w:rPr>
              <w:t>424</w:t>
            </w: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461</w:t>
            </w: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60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71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Weighted average total cash costs per ounce of gold produced</w:t>
            </w:r>
          </w:p>
        </w:tc>
        <w:tc>
          <w:tcPr>
            <w:tcW w:w="560" w:type="dxa"/>
            <w:vAlign w:val="bottom"/>
            <w:shd w:val="clear" w:color="auto" w:fill="CCEEFF"/>
          </w:tcPr>
          <w:p>
            <w:pPr>
              <w:jc w:val="right"/>
              <w:ind w:right="381"/>
              <w:spacing w:after="0"/>
              <w:rPr>
                <w:sz w:val="20"/>
                <w:szCs w:val="20"/>
                <w:color w:val="auto"/>
              </w:rPr>
            </w:pPr>
            <w:r>
              <w:rPr>
                <w:rFonts w:ascii="Arial" w:cs="Arial" w:eastAsia="Arial" w:hAnsi="Arial"/>
                <w:sz w:val="17"/>
                <w:szCs w:val="17"/>
                <w:color w:val="auto"/>
                <w:w w:val="84"/>
              </w:rPr>
              <w:t>$</w:t>
            </w:r>
          </w:p>
        </w:tc>
        <w:tc>
          <w:tcPr>
            <w:tcW w:w="28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w w:val="84"/>
              </w:rPr>
              <w:t>631</w:t>
            </w:r>
          </w:p>
        </w:tc>
        <w:tc>
          <w:tcPr>
            <w:tcW w:w="140" w:type="dxa"/>
            <w:vAlign w:val="bottom"/>
            <w:shd w:val="clear" w:color="auto" w:fill="CCEEFF"/>
          </w:tcPr>
          <w:p>
            <w:pPr>
              <w:spacing w:after="0"/>
              <w:rPr>
                <w:sz w:val="17"/>
                <w:szCs w:val="17"/>
                <w:color w:val="auto"/>
              </w:rPr>
            </w:pPr>
          </w:p>
        </w:tc>
        <w:tc>
          <w:tcPr>
            <w:tcW w:w="560" w:type="dxa"/>
            <w:vAlign w:val="bottom"/>
            <w:shd w:val="clear" w:color="auto" w:fill="CCEEFF"/>
          </w:tcPr>
          <w:p>
            <w:pPr>
              <w:jc w:val="right"/>
              <w:ind w:right="379"/>
              <w:spacing w:after="0"/>
              <w:rPr>
                <w:sz w:val="20"/>
                <w:szCs w:val="20"/>
                <w:color w:val="auto"/>
              </w:rPr>
            </w:pPr>
            <w:r>
              <w:rPr>
                <w:rFonts w:ascii="Arial" w:cs="Arial" w:eastAsia="Arial" w:hAnsi="Arial"/>
                <w:sz w:val="17"/>
                <w:szCs w:val="17"/>
                <w:color w:val="auto"/>
                <w:w w:val="84"/>
              </w:rPr>
              <w:t>$</w:t>
            </w: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651</w:t>
            </w:r>
          </w:p>
        </w:tc>
        <w:tc>
          <w:tcPr>
            <w:tcW w:w="0" w:type="dxa"/>
            <w:vAlign w:val="bottom"/>
          </w:tcPr>
          <w:p>
            <w:pPr>
              <w:spacing w:after="0"/>
              <w:rPr>
                <w:sz w:val="1"/>
                <w:szCs w:val="1"/>
                <w:color w:val="auto"/>
              </w:rPr>
            </w:pPr>
          </w:p>
        </w:tc>
      </w:tr>
      <w:tr>
        <w:trPr>
          <w:trHeight w:val="26"/>
        </w:trPr>
        <w:tc>
          <w:tcPr>
            <w:tcW w:w="7160" w:type="dxa"/>
            <w:vAlign w:val="bottom"/>
            <w:gridSpan w:val="2"/>
            <w:vMerge w:val="restart"/>
          </w:tcPr>
          <w:p>
            <w:pPr>
              <w:ind w:left="20"/>
              <w:spacing w:after="0"/>
              <w:rPr>
                <w:sz w:val="20"/>
                <w:szCs w:val="20"/>
                <w:color w:val="auto"/>
              </w:rPr>
            </w:pPr>
            <w:r>
              <w:rPr>
                <w:rFonts w:ascii="Arial" w:cs="Arial" w:eastAsia="Arial" w:hAnsi="Arial"/>
                <w:sz w:val="17"/>
                <w:szCs w:val="17"/>
                <w:b w:val="1"/>
                <w:bCs w:val="1"/>
                <w:color w:val="auto"/>
              </w:rPr>
              <w:t>Total cash costs per ounce of gold produced — by-product basis (US$)</w:t>
            </w:r>
            <w:r>
              <w:rPr>
                <w:rFonts w:ascii="Arial" w:cs="Arial" w:eastAsia="Arial" w:hAnsi="Arial"/>
                <w:sz w:val="28"/>
                <w:szCs w:val="28"/>
                <w:b w:val="1"/>
                <w:bCs w:val="1"/>
                <w:color w:val="auto"/>
                <w:vertAlign w:val="superscript"/>
              </w:rPr>
              <w:t>(v)</w:t>
            </w:r>
            <w:r>
              <w:rPr>
                <w:rFonts w:ascii="Arial" w:cs="Arial" w:eastAsia="Arial" w:hAnsi="Arial"/>
                <w:sz w:val="17"/>
                <w:szCs w:val="17"/>
                <w:b w:val="1"/>
                <w:bCs w:val="1"/>
                <w:color w:val="auto"/>
              </w:rPr>
              <w:t>:</w:t>
            </w:r>
          </w:p>
        </w:tc>
        <w:tc>
          <w:tcPr>
            <w:tcW w:w="5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160" w:type="dxa"/>
            <w:vAlign w:val="bottom"/>
            <w:gridSpan w:val="2"/>
            <w:vMerge w:val="continue"/>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8"/>
        </w:trPr>
        <w:tc>
          <w:tcPr>
            <w:tcW w:w="7160" w:type="dxa"/>
            <w:vAlign w:val="bottom"/>
            <w:gridSpan w:val="2"/>
            <w:vMerge w:val="continue"/>
          </w:tcPr>
          <w:p>
            <w:pPr>
              <w:spacing w:after="0"/>
              <w:rPr>
                <w:sz w:val="24"/>
                <w:szCs w:val="24"/>
                <w:color w:val="auto"/>
              </w:rPr>
            </w:pPr>
          </w:p>
        </w:tc>
        <w:tc>
          <w:tcPr>
            <w:tcW w:w="5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71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Northern Business</w:t>
            </w:r>
          </w:p>
        </w:tc>
        <w:tc>
          <w:tcPr>
            <w:tcW w:w="5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160" w:type="dxa"/>
            <w:vAlign w:val="bottom"/>
            <w:gridSpan w:val="2"/>
          </w:tcPr>
          <w:p>
            <w:pPr>
              <w:ind w:left="180"/>
              <w:spacing w:after="0"/>
              <w:rPr>
                <w:sz w:val="20"/>
                <w:szCs w:val="20"/>
                <w:color w:val="auto"/>
              </w:rPr>
            </w:pPr>
            <w:r>
              <w:rPr>
                <w:rFonts w:ascii="Arial" w:cs="Arial" w:eastAsia="Arial" w:hAnsi="Arial"/>
                <w:sz w:val="17"/>
                <w:szCs w:val="17"/>
                <w:color w:val="auto"/>
              </w:rPr>
              <w:t>LaRonde mine</w:t>
            </w:r>
          </w:p>
        </w:tc>
        <w:tc>
          <w:tcPr>
            <w:tcW w:w="560" w:type="dxa"/>
            <w:vAlign w:val="bottom"/>
          </w:tcPr>
          <w:p>
            <w:pPr>
              <w:jc w:val="right"/>
              <w:ind w:right="381"/>
              <w:spacing w:after="0"/>
              <w:rPr>
                <w:sz w:val="20"/>
                <w:szCs w:val="20"/>
                <w:color w:val="auto"/>
              </w:rPr>
            </w:pPr>
            <w:r>
              <w:rPr>
                <w:rFonts w:ascii="Arial" w:cs="Arial" w:eastAsia="Arial" w:hAnsi="Arial"/>
                <w:sz w:val="17"/>
                <w:szCs w:val="17"/>
                <w:color w:val="auto"/>
                <w:w w:val="84"/>
              </w:rPr>
              <w:t>$</w:t>
            </w:r>
          </w:p>
        </w:tc>
        <w:tc>
          <w:tcPr>
            <w:tcW w:w="280" w:type="dxa"/>
            <w:vAlign w:val="bottom"/>
            <w:gridSpan w:val="2"/>
          </w:tcPr>
          <w:p>
            <w:pPr>
              <w:ind w:left="20"/>
              <w:spacing w:after="0"/>
              <w:rPr>
                <w:sz w:val="20"/>
                <w:szCs w:val="20"/>
                <w:color w:val="auto"/>
              </w:rPr>
            </w:pPr>
            <w:r>
              <w:rPr>
                <w:rFonts w:ascii="Arial" w:cs="Arial" w:eastAsia="Arial" w:hAnsi="Arial"/>
                <w:sz w:val="17"/>
                <w:szCs w:val="17"/>
                <w:color w:val="auto"/>
                <w:w w:val="84"/>
              </w:rPr>
              <w:t>529</w:t>
            </w:r>
          </w:p>
        </w:tc>
        <w:tc>
          <w:tcPr>
            <w:tcW w:w="140" w:type="dxa"/>
            <w:vAlign w:val="bottom"/>
          </w:tcPr>
          <w:p>
            <w:pPr>
              <w:spacing w:after="0"/>
              <w:rPr>
                <w:sz w:val="18"/>
                <w:szCs w:val="18"/>
                <w:color w:val="auto"/>
              </w:rPr>
            </w:pPr>
          </w:p>
        </w:tc>
        <w:tc>
          <w:tcPr>
            <w:tcW w:w="560" w:type="dxa"/>
            <w:vAlign w:val="bottom"/>
          </w:tcPr>
          <w:p>
            <w:pPr>
              <w:jc w:val="right"/>
              <w:ind w:right="379"/>
              <w:spacing w:after="0"/>
              <w:rPr>
                <w:sz w:val="20"/>
                <w:szCs w:val="20"/>
                <w:color w:val="auto"/>
              </w:rPr>
            </w:pPr>
            <w:r>
              <w:rPr>
                <w:rFonts w:ascii="Arial" w:cs="Arial" w:eastAsia="Arial" w:hAnsi="Arial"/>
                <w:sz w:val="17"/>
                <w:szCs w:val="17"/>
                <w:color w:val="auto"/>
                <w:w w:val="84"/>
              </w:rPr>
              <w:t>$</w:t>
            </w:r>
          </w:p>
        </w:tc>
        <w:tc>
          <w:tcPr>
            <w:tcW w:w="4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703</w:t>
            </w:r>
          </w:p>
        </w:tc>
        <w:tc>
          <w:tcPr>
            <w:tcW w:w="0" w:type="dxa"/>
            <w:vAlign w:val="bottom"/>
          </w:tcPr>
          <w:p>
            <w:pPr>
              <w:spacing w:after="0"/>
              <w:rPr>
                <w:sz w:val="1"/>
                <w:szCs w:val="1"/>
                <w:color w:val="auto"/>
              </w:rPr>
            </w:pPr>
          </w:p>
        </w:tc>
      </w:tr>
      <w:tr>
        <w:trPr>
          <w:trHeight w:val="210"/>
        </w:trPr>
        <w:tc>
          <w:tcPr>
            <w:tcW w:w="71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Lapa mine</w:t>
            </w:r>
          </w:p>
        </w:tc>
        <w:tc>
          <w:tcPr>
            <w:tcW w:w="560" w:type="dxa"/>
            <w:vAlign w:val="bottom"/>
            <w:shd w:val="clear" w:color="auto" w:fill="CCEEFF"/>
          </w:tcPr>
          <w:p>
            <w:pPr>
              <w:spacing w:after="0"/>
              <w:rPr>
                <w:sz w:val="18"/>
                <w:szCs w:val="18"/>
                <w:color w:val="auto"/>
              </w:rPr>
            </w:pPr>
          </w:p>
        </w:tc>
        <w:tc>
          <w:tcPr>
            <w:tcW w:w="28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w w:val="84"/>
              </w:rPr>
              <w:t>668</w:t>
            </w: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568</w:t>
            </w:r>
          </w:p>
        </w:tc>
        <w:tc>
          <w:tcPr>
            <w:tcW w:w="0" w:type="dxa"/>
            <w:vAlign w:val="bottom"/>
          </w:tcPr>
          <w:p>
            <w:pPr>
              <w:spacing w:after="0"/>
              <w:rPr>
                <w:sz w:val="1"/>
                <w:szCs w:val="1"/>
                <w:color w:val="auto"/>
              </w:rPr>
            </w:pPr>
          </w:p>
        </w:tc>
      </w:tr>
      <w:tr>
        <w:trPr>
          <w:trHeight w:val="210"/>
        </w:trPr>
        <w:tc>
          <w:tcPr>
            <w:tcW w:w="7160" w:type="dxa"/>
            <w:vAlign w:val="bottom"/>
            <w:gridSpan w:val="2"/>
          </w:tcPr>
          <w:p>
            <w:pPr>
              <w:ind w:left="180"/>
              <w:spacing w:after="0"/>
              <w:rPr>
                <w:sz w:val="20"/>
                <w:szCs w:val="20"/>
                <w:color w:val="auto"/>
              </w:rPr>
            </w:pPr>
            <w:r>
              <w:rPr>
                <w:rFonts w:ascii="Arial" w:cs="Arial" w:eastAsia="Arial" w:hAnsi="Arial"/>
                <w:sz w:val="17"/>
                <w:szCs w:val="17"/>
                <w:color w:val="auto"/>
              </w:rPr>
              <w:t>Goldex mine</w:t>
            </w:r>
          </w:p>
        </w:tc>
        <w:tc>
          <w:tcPr>
            <w:tcW w:w="560" w:type="dxa"/>
            <w:vAlign w:val="bottom"/>
          </w:tcPr>
          <w:p>
            <w:pPr>
              <w:spacing w:after="0"/>
              <w:rPr>
                <w:sz w:val="18"/>
                <w:szCs w:val="18"/>
                <w:color w:val="auto"/>
              </w:rPr>
            </w:pPr>
          </w:p>
        </w:tc>
        <w:tc>
          <w:tcPr>
            <w:tcW w:w="280" w:type="dxa"/>
            <w:vAlign w:val="bottom"/>
            <w:gridSpan w:val="2"/>
          </w:tcPr>
          <w:p>
            <w:pPr>
              <w:ind w:left="20"/>
              <w:spacing w:after="0"/>
              <w:rPr>
                <w:sz w:val="20"/>
                <w:szCs w:val="20"/>
                <w:color w:val="auto"/>
              </w:rPr>
            </w:pPr>
            <w:r>
              <w:rPr>
                <w:rFonts w:ascii="Arial" w:cs="Arial" w:eastAsia="Arial" w:hAnsi="Arial"/>
                <w:sz w:val="17"/>
                <w:szCs w:val="17"/>
                <w:color w:val="auto"/>
                <w:w w:val="84"/>
              </w:rPr>
              <w:t>506</w:t>
            </w: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541</w:t>
            </w:r>
          </w:p>
        </w:tc>
        <w:tc>
          <w:tcPr>
            <w:tcW w:w="0" w:type="dxa"/>
            <w:vAlign w:val="bottom"/>
          </w:tcPr>
          <w:p>
            <w:pPr>
              <w:spacing w:after="0"/>
              <w:rPr>
                <w:sz w:val="1"/>
                <w:szCs w:val="1"/>
                <w:color w:val="auto"/>
              </w:rPr>
            </w:pPr>
          </w:p>
        </w:tc>
      </w:tr>
      <w:tr>
        <w:trPr>
          <w:trHeight w:val="210"/>
        </w:trPr>
        <w:tc>
          <w:tcPr>
            <w:tcW w:w="71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Meadowbank mine</w:t>
            </w:r>
          </w:p>
        </w:tc>
        <w:tc>
          <w:tcPr>
            <w:tcW w:w="560" w:type="dxa"/>
            <w:vAlign w:val="bottom"/>
            <w:shd w:val="clear" w:color="auto" w:fill="CCEEFF"/>
          </w:tcPr>
          <w:p>
            <w:pPr>
              <w:spacing w:after="0"/>
              <w:rPr>
                <w:sz w:val="18"/>
                <w:szCs w:val="18"/>
                <w:color w:val="auto"/>
              </w:rPr>
            </w:pPr>
          </w:p>
        </w:tc>
        <w:tc>
          <w:tcPr>
            <w:tcW w:w="28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w w:val="84"/>
              </w:rPr>
              <w:t>788</w:t>
            </w: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655</w:t>
            </w:r>
          </w:p>
        </w:tc>
        <w:tc>
          <w:tcPr>
            <w:tcW w:w="0" w:type="dxa"/>
            <w:vAlign w:val="bottom"/>
          </w:tcPr>
          <w:p>
            <w:pPr>
              <w:spacing w:after="0"/>
              <w:rPr>
                <w:sz w:val="1"/>
                <w:szCs w:val="1"/>
                <w:color w:val="auto"/>
              </w:rPr>
            </w:pPr>
          </w:p>
        </w:tc>
      </w:tr>
      <w:tr>
        <w:trPr>
          <w:trHeight w:val="249"/>
        </w:trPr>
        <w:tc>
          <w:tcPr>
            <w:tcW w:w="7160" w:type="dxa"/>
            <w:vAlign w:val="bottom"/>
            <w:gridSpan w:val="2"/>
          </w:tcPr>
          <w:p>
            <w:pPr>
              <w:ind w:left="180"/>
              <w:spacing w:after="0" w:line="249" w:lineRule="exact"/>
              <w:rPr>
                <w:sz w:val="20"/>
                <w:szCs w:val="20"/>
                <w:color w:val="auto"/>
              </w:rPr>
            </w:pPr>
            <w:r>
              <w:rPr>
                <w:rFonts w:ascii="Arial" w:cs="Arial" w:eastAsia="Arial" w:hAnsi="Arial"/>
                <w:sz w:val="17"/>
                <w:szCs w:val="17"/>
                <w:color w:val="auto"/>
              </w:rPr>
              <w:t>Canadian Malartic mine</w:t>
            </w:r>
            <w:r>
              <w:rPr>
                <w:rFonts w:ascii="Arial" w:cs="Arial" w:eastAsia="Arial" w:hAnsi="Arial"/>
                <w:sz w:val="28"/>
                <w:szCs w:val="28"/>
                <w:color w:val="auto"/>
                <w:vertAlign w:val="superscript"/>
              </w:rPr>
              <w:t>(ii)</w:t>
            </w:r>
          </w:p>
        </w:tc>
        <w:tc>
          <w:tcPr>
            <w:tcW w:w="560" w:type="dxa"/>
            <w:vAlign w:val="bottom"/>
          </w:tcPr>
          <w:p>
            <w:pPr>
              <w:spacing w:after="0"/>
              <w:rPr>
                <w:sz w:val="21"/>
                <w:szCs w:val="21"/>
                <w:color w:val="auto"/>
              </w:rPr>
            </w:pPr>
          </w:p>
        </w:tc>
        <w:tc>
          <w:tcPr>
            <w:tcW w:w="280" w:type="dxa"/>
            <w:vAlign w:val="bottom"/>
            <w:gridSpan w:val="2"/>
          </w:tcPr>
          <w:p>
            <w:pPr>
              <w:ind w:left="20"/>
              <w:spacing w:after="0"/>
              <w:rPr>
                <w:sz w:val="20"/>
                <w:szCs w:val="20"/>
                <w:color w:val="auto"/>
              </w:rPr>
            </w:pPr>
            <w:r>
              <w:rPr>
                <w:rFonts w:ascii="Arial" w:cs="Arial" w:eastAsia="Arial" w:hAnsi="Arial"/>
                <w:sz w:val="17"/>
                <w:szCs w:val="17"/>
                <w:color w:val="auto"/>
                <w:w w:val="84"/>
              </w:rPr>
              <w:t>557</w:t>
            </w:r>
          </w:p>
        </w:tc>
        <w:tc>
          <w:tcPr>
            <w:tcW w:w="14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632</w:t>
            </w:r>
          </w:p>
        </w:tc>
        <w:tc>
          <w:tcPr>
            <w:tcW w:w="0" w:type="dxa"/>
            <w:vAlign w:val="bottom"/>
          </w:tcPr>
          <w:p>
            <w:pPr>
              <w:spacing w:after="0"/>
              <w:rPr>
                <w:sz w:val="1"/>
                <w:szCs w:val="1"/>
                <w:color w:val="auto"/>
              </w:rPr>
            </w:pPr>
          </w:p>
        </w:tc>
      </w:tr>
      <w:tr>
        <w:trPr>
          <w:trHeight w:val="210"/>
        </w:trPr>
        <w:tc>
          <w:tcPr>
            <w:tcW w:w="71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Kittila mine</w:t>
            </w:r>
          </w:p>
        </w:tc>
        <w:tc>
          <w:tcPr>
            <w:tcW w:w="560" w:type="dxa"/>
            <w:vAlign w:val="bottom"/>
            <w:shd w:val="clear" w:color="auto" w:fill="CCEEFF"/>
          </w:tcPr>
          <w:p>
            <w:pPr>
              <w:spacing w:after="0"/>
              <w:rPr>
                <w:sz w:val="18"/>
                <w:szCs w:val="18"/>
                <w:color w:val="auto"/>
              </w:rPr>
            </w:pPr>
          </w:p>
        </w:tc>
        <w:tc>
          <w:tcPr>
            <w:tcW w:w="28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w w:val="84"/>
              </w:rPr>
              <w:t>726</w:t>
            </w: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681</w:t>
            </w:r>
          </w:p>
        </w:tc>
        <w:tc>
          <w:tcPr>
            <w:tcW w:w="0" w:type="dxa"/>
            <w:vAlign w:val="bottom"/>
          </w:tcPr>
          <w:p>
            <w:pPr>
              <w:spacing w:after="0"/>
              <w:rPr>
                <w:sz w:val="1"/>
                <w:szCs w:val="1"/>
                <w:color w:val="auto"/>
              </w:rPr>
            </w:pPr>
          </w:p>
        </w:tc>
      </w:tr>
      <w:tr>
        <w:trPr>
          <w:trHeight w:val="210"/>
        </w:trPr>
        <w:tc>
          <w:tcPr>
            <w:tcW w:w="7160" w:type="dxa"/>
            <w:vAlign w:val="bottom"/>
            <w:gridSpan w:val="2"/>
          </w:tcPr>
          <w:p>
            <w:pPr>
              <w:ind w:left="20"/>
              <w:spacing w:after="0"/>
              <w:rPr>
                <w:sz w:val="20"/>
                <w:szCs w:val="20"/>
                <w:color w:val="auto"/>
              </w:rPr>
            </w:pPr>
            <w:r>
              <w:rPr>
                <w:rFonts w:ascii="Arial" w:cs="Arial" w:eastAsia="Arial" w:hAnsi="Arial"/>
                <w:sz w:val="17"/>
                <w:szCs w:val="17"/>
                <w:color w:val="auto"/>
              </w:rPr>
              <w:t>Southern Business</w:t>
            </w:r>
          </w:p>
        </w:tc>
        <w:tc>
          <w:tcPr>
            <w:tcW w:w="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1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Pinos Altos mine</w:t>
            </w:r>
          </w:p>
        </w:tc>
        <w:tc>
          <w:tcPr>
            <w:tcW w:w="560" w:type="dxa"/>
            <w:vAlign w:val="bottom"/>
            <w:shd w:val="clear" w:color="auto" w:fill="CCEEFF"/>
          </w:tcPr>
          <w:p>
            <w:pPr>
              <w:spacing w:after="0"/>
              <w:rPr>
                <w:sz w:val="18"/>
                <w:szCs w:val="18"/>
                <w:color w:val="auto"/>
              </w:rPr>
            </w:pPr>
          </w:p>
        </w:tc>
        <w:tc>
          <w:tcPr>
            <w:tcW w:w="28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w w:val="84"/>
              </w:rPr>
              <w:t>343</w:t>
            </w: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357</w:t>
            </w:r>
          </w:p>
        </w:tc>
        <w:tc>
          <w:tcPr>
            <w:tcW w:w="0" w:type="dxa"/>
            <w:vAlign w:val="bottom"/>
          </w:tcPr>
          <w:p>
            <w:pPr>
              <w:spacing w:after="0"/>
              <w:rPr>
                <w:sz w:val="1"/>
                <w:szCs w:val="1"/>
                <w:color w:val="auto"/>
              </w:rPr>
            </w:pPr>
          </w:p>
        </w:tc>
      </w:tr>
      <w:tr>
        <w:trPr>
          <w:trHeight w:val="210"/>
        </w:trPr>
        <w:tc>
          <w:tcPr>
            <w:tcW w:w="7160" w:type="dxa"/>
            <w:vAlign w:val="bottom"/>
            <w:gridSpan w:val="2"/>
          </w:tcPr>
          <w:p>
            <w:pPr>
              <w:ind w:left="180"/>
              <w:spacing w:after="0"/>
              <w:rPr>
                <w:sz w:val="20"/>
                <w:szCs w:val="20"/>
                <w:color w:val="auto"/>
              </w:rPr>
            </w:pPr>
            <w:r>
              <w:rPr>
                <w:rFonts w:ascii="Arial" w:cs="Arial" w:eastAsia="Arial" w:hAnsi="Arial"/>
                <w:sz w:val="17"/>
                <w:szCs w:val="17"/>
                <w:color w:val="auto"/>
              </w:rPr>
              <w:t>Creston Mascota deposit at Pinos Altos</w:t>
            </w:r>
          </w:p>
        </w:tc>
        <w:tc>
          <w:tcPr>
            <w:tcW w:w="560" w:type="dxa"/>
            <w:vAlign w:val="bottom"/>
          </w:tcPr>
          <w:p>
            <w:pPr>
              <w:spacing w:after="0"/>
              <w:rPr>
                <w:sz w:val="18"/>
                <w:szCs w:val="18"/>
                <w:color w:val="auto"/>
              </w:rPr>
            </w:pPr>
          </w:p>
        </w:tc>
        <w:tc>
          <w:tcPr>
            <w:tcW w:w="280" w:type="dxa"/>
            <w:vAlign w:val="bottom"/>
            <w:gridSpan w:val="2"/>
          </w:tcPr>
          <w:p>
            <w:pPr>
              <w:ind w:left="20"/>
              <w:spacing w:after="0"/>
              <w:rPr>
                <w:sz w:val="20"/>
                <w:szCs w:val="20"/>
                <w:color w:val="auto"/>
              </w:rPr>
            </w:pPr>
            <w:r>
              <w:rPr>
                <w:rFonts w:ascii="Arial" w:cs="Arial" w:eastAsia="Arial" w:hAnsi="Arial"/>
                <w:sz w:val="17"/>
                <w:szCs w:val="17"/>
                <w:color w:val="auto"/>
                <w:w w:val="84"/>
              </w:rPr>
              <w:t>460</w:t>
            </w: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20" w:type="dxa"/>
            <w:vAlign w:val="bottom"/>
            <w:gridSpan w:val="2"/>
          </w:tcPr>
          <w:p>
            <w:pPr>
              <w:jc w:val="right"/>
              <w:ind w:right="140"/>
              <w:spacing w:after="0"/>
              <w:rPr>
                <w:sz w:val="20"/>
                <w:szCs w:val="20"/>
                <w:color w:val="auto"/>
              </w:rPr>
            </w:pPr>
            <w:r>
              <w:rPr>
                <w:rFonts w:ascii="Arial" w:cs="Arial" w:eastAsia="Arial" w:hAnsi="Arial"/>
                <w:sz w:val="17"/>
                <w:szCs w:val="17"/>
                <w:color w:val="auto"/>
                <w:w w:val="91"/>
              </w:rPr>
              <w:t>444</w:t>
            </w:r>
          </w:p>
        </w:tc>
        <w:tc>
          <w:tcPr>
            <w:tcW w:w="0" w:type="dxa"/>
            <w:vAlign w:val="bottom"/>
          </w:tcPr>
          <w:p>
            <w:pPr>
              <w:spacing w:after="0"/>
              <w:rPr>
                <w:sz w:val="1"/>
                <w:szCs w:val="1"/>
                <w:color w:val="auto"/>
              </w:rPr>
            </w:pPr>
          </w:p>
        </w:tc>
      </w:tr>
      <w:tr>
        <w:trPr>
          <w:trHeight w:val="210"/>
        </w:trPr>
        <w:tc>
          <w:tcPr>
            <w:tcW w:w="716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La India mine</w:t>
            </w:r>
          </w:p>
        </w:tc>
        <w:tc>
          <w:tcPr>
            <w:tcW w:w="560" w:type="dxa"/>
            <w:vAlign w:val="bottom"/>
            <w:shd w:val="clear" w:color="auto" w:fill="CCEEFF"/>
          </w:tcPr>
          <w:p>
            <w:pPr>
              <w:spacing w:after="0"/>
              <w:rPr>
                <w:sz w:val="18"/>
                <w:szCs w:val="18"/>
                <w:color w:val="auto"/>
              </w:rPr>
            </w:pPr>
          </w:p>
        </w:tc>
        <w:tc>
          <w:tcPr>
            <w:tcW w:w="28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w w:val="84"/>
              </w:rPr>
              <w:t>360</w:t>
            </w: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1"/>
              </w:rPr>
              <w:t>418</w:t>
            </w:r>
          </w:p>
        </w:tc>
        <w:tc>
          <w:tcPr>
            <w:tcW w:w="0" w:type="dxa"/>
            <w:vAlign w:val="bottom"/>
          </w:tcPr>
          <w:p>
            <w:pPr>
              <w:spacing w:after="0"/>
              <w:rPr>
                <w:sz w:val="1"/>
                <w:szCs w:val="1"/>
                <w:color w:val="auto"/>
              </w:rPr>
            </w:pPr>
          </w:p>
        </w:tc>
      </w:tr>
      <w:tr>
        <w:trPr>
          <w:trHeight w:val="26"/>
        </w:trPr>
        <w:tc>
          <w:tcPr>
            <w:tcW w:w="7160" w:type="dxa"/>
            <w:vAlign w:val="bottom"/>
            <w:gridSpan w:val="2"/>
            <w:vMerge w:val="restart"/>
          </w:tcPr>
          <w:p>
            <w:pPr>
              <w:ind w:left="20"/>
              <w:spacing w:after="0"/>
              <w:rPr>
                <w:sz w:val="20"/>
                <w:szCs w:val="20"/>
                <w:color w:val="auto"/>
              </w:rPr>
            </w:pPr>
            <w:r>
              <w:rPr>
                <w:rFonts w:ascii="Arial" w:cs="Arial" w:eastAsia="Arial" w:hAnsi="Arial"/>
                <w:sz w:val="17"/>
                <w:szCs w:val="17"/>
                <w:color w:val="auto"/>
              </w:rPr>
              <w:t>Weighted average total cash costs per ounce of gold produced</w:t>
            </w:r>
          </w:p>
        </w:tc>
        <w:tc>
          <w:tcPr>
            <w:tcW w:w="560" w:type="dxa"/>
            <w:vAlign w:val="bottom"/>
          </w:tcPr>
          <w:p>
            <w:pPr>
              <w:spacing w:after="0"/>
              <w:rPr>
                <w:sz w:val="2"/>
                <w:szCs w:val="2"/>
                <w:color w:val="auto"/>
              </w:rPr>
            </w:pPr>
          </w:p>
        </w:tc>
        <w:tc>
          <w:tcPr>
            <w:tcW w:w="2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560" w:type="dxa"/>
            <w:vAlign w:val="bottom"/>
          </w:tcPr>
          <w:p>
            <w:pPr>
              <w:spacing w:after="0"/>
              <w:rPr>
                <w:sz w:val="2"/>
                <w:szCs w:val="2"/>
                <w:color w:val="auto"/>
              </w:rPr>
            </w:pPr>
          </w:p>
        </w:tc>
        <w:tc>
          <w:tcPr>
            <w:tcW w:w="4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7160" w:type="dxa"/>
            <w:vAlign w:val="bottom"/>
            <w:gridSpan w:val="2"/>
            <w:vMerge w:val="continue"/>
          </w:tcPr>
          <w:p>
            <w:pPr>
              <w:spacing w:after="0"/>
              <w:rPr>
                <w:sz w:val="18"/>
                <w:szCs w:val="18"/>
                <w:color w:val="auto"/>
              </w:rPr>
            </w:pPr>
          </w:p>
        </w:tc>
        <w:tc>
          <w:tcPr>
            <w:tcW w:w="560" w:type="dxa"/>
            <w:vAlign w:val="bottom"/>
            <w:tcBorders>
              <w:top w:val="single" w:sz="8" w:color="auto"/>
            </w:tcBorders>
          </w:tcPr>
          <w:p>
            <w:pPr>
              <w:jc w:val="right"/>
              <w:ind w:right="381"/>
              <w:spacing w:after="0"/>
              <w:rPr>
                <w:sz w:val="20"/>
                <w:szCs w:val="20"/>
                <w:color w:val="auto"/>
              </w:rPr>
            </w:pPr>
            <w:r>
              <w:rPr>
                <w:rFonts w:ascii="Arial" w:cs="Arial" w:eastAsia="Arial" w:hAnsi="Arial"/>
                <w:sz w:val="17"/>
                <w:szCs w:val="17"/>
                <w:color w:val="auto"/>
                <w:w w:val="84"/>
              </w:rPr>
              <w:t>$</w:t>
            </w:r>
          </w:p>
        </w:tc>
        <w:tc>
          <w:tcPr>
            <w:tcW w:w="260" w:type="dxa"/>
            <w:vAlign w:val="bottom"/>
            <w:tcBorders>
              <w:top w:val="single" w:sz="8" w:color="auto"/>
            </w:tcBorders>
          </w:tcPr>
          <w:p>
            <w:pPr>
              <w:ind w:left="20"/>
              <w:spacing w:after="0"/>
              <w:rPr>
                <w:sz w:val="20"/>
                <w:szCs w:val="20"/>
                <w:color w:val="auto"/>
              </w:rPr>
            </w:pPr>
            <w:r>
              <w:rPr>
                <w:rFonts w:ascii="Arial" w:cs="Arial" w:eastAsia="Arial" w:hAnsi="Arial"/>
                <w:sz w:val="17"/>
                <w:szCs w:val="17"/>
                <w:color w:val="auto"/>
                <w:w w:val="77"/>
              </w:rPr>
              <w:t>573</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Borders>
              <w:top w:val="single" w:sz="8" w:color="auto"/>
            </w:tcBorders>
          </w:tcPr>
          <w:p>
            <w:pPr>
              <w:jc w:val="right"/>
              <w:ind w:right="379"/>
              <w:spacing w:after="0"/>
              <w:rPr>
                <w:sz w:val="20"/>
                <w:szCs w:val="20"/>
                <w:color w:val="auto"/>
              </w:rPr>
            </w:pPr>
            <w:r>
              <w:rPr>
                <w:rFonts w:ascii="Arial" w:cs="Arial" w:eastAsia="Arial" w:hAnsi="Arial"/>
                <w:sz w:val="17"/>
                <w:szCs w:val="17"/>
                <w:color w:val="auto"/>
                <w:w w:val="84"/>
              </w:rPr>
              <w:t>$</w:t>
            </w:r>
          </w:p>
        </w:tc>
        <w:tc>
          <w:tcPr>
            <w:tcW w:w="2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1"/>
              </w:rPr>
              <w:t>588</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60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60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
        </w:trPr>
        <w:tc>
          <w:tcPr>
            <w:tcW w:w="1140" w:type="dxa"/>
            <w:vAlign w:val="bottom"/>
            <w:tcBorders>
              <w:bottom w:val="single" w:sz="8" w:color="auto"/>
            </w:tcBorders>
          </w:tcPr>
          <w:p>
            <w:pPr>
              <w:spacing w:after="0"/>
              <w:rPr>
                <w:sz w:val="7"/>
                <w:szCs w:val="7"/>
                <w:color w:val="auto"/>
              </w:rPr>
            </w:pPr>
          </w:p>
        </w:tc>
        <w:tc>
          <w:tcPr>
            <w:tcW w:w="60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60" w:type="dxa"/>
            <w:vAlign w:val="bottom"/>
          </w:tcPr>
          <w:p>
            <w:pPr>
              <w:spacing w:after="0"/>
              <w:rPr>
                <w:sz w:val="7"/>
                <w:szCs w:val="7"/>
                <w:color w:val="auto"/>
              </w:rPr>
            </w:pPr>
          </w:p>
        </w:tc>
        <w:tc>
          <w:tcPr>
            <w:tcW w:w="20" w:type="dxa"/>
            <w:vAlign w:val="bottom"/>
          </w:tcPr>
          <w:p>
            <w:pPr>
              <w:spacing w:after="0"/>
              <w:rPr>
                <w:sz w:val="7"/>
                <w:szCs w:val="7"/>
                <w:color w:val="auto"/>
              </w:rPr>
            </w:pPr>
          </w:p>
        </w:tc>
        <w:tc>
          <w:tcPr>
            <w:tcW w:w="140" w:type="dxa"/>
            <w:vAlign w:val="bottom"/>
          </w:tcPr>
          <w:p>
            <w:pPr>
              <w:spacing w:after="0"/>
              <w:rPr>
                <w:sz w:val="7"/>
                <w:szCs w:val="7"/>
                <w:color w:val="auto"/>
              </w:rPr>
            </w:pPr>
          </w:p>
        </w:tc>
        <w:tc>
          <w:tcPr>
            <w:tcW w:w="560" w:type="dxa"/>
            <w:vAlign w:val="bottom"/>
          </w:tcPr>
          <w:p>
            <w:pPr>
              <w:spacing w:after="0"/>
              <w:rPr>
                <w:sz w:val="7"/>
                <w:szCs w:val="7"/>
                <w:color w:val="auto"/>
              </w:rPr>
            </w:pPr>
          </w:p>
        </w:tc>
        <w:tc>
          <w:tcPr>
            <w:tcW w:w="280" w:type="dxa"/>
            <w:vAlign w:val="bottom"/>
          </w:tcPr>
          <w:p>
            <w:pPr>
              <w:spacing w:after="0"/>
              <w:rPr>
                <w:sz w:val="7"/>
                <w:szCs w:val="7"/>
                <w:color w:val="auto"/>
              </w:rPr>
            </w:pPr>
          </w:p>
        </w:tc>
        <w:tc>
          <w:tcPr>
            <w:tcW w:w="1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7"/>
          <w:szCs w:val="17"/>
          <w:color w:val="auto"/>
        </w:rPr>
        <w:t>Notes:</w:t>
      </w:r>
    </w:p>
    <w:p>
      <w:pPr>
        <w:spacing w:after="0" w:line="237" w:lineRule="exact"/>
        <w:rPr>
          <w:sz w:val="20"/>
          <w:szCs w:val="20"/>
          <w:color w:val="auto"/>
        </w:rPr>
      </w:pPr>
    </w:p>
    <w:p>
      <w:pPr>
        <w:ind w:left="540" w:hanging="533"/>
        <w:spacing w:after="0"/>
        <w:tabs>
          <w:tab w:leader="none" w:pos="540" w:val="left"/>
        </w:tabs>
        <w:numPr>
          <w:ilvl w:val="0"/>
          <w:numId w:val="5"/>
        </w:numPr>
        <w:rPr>
          <w:rFonts w:ascii="Arial" w:cs="Arial" w:eastAsia="Arial" w:hAnsi="Arial"/>
          <w:sz w:val="17"/>
          <w:szCs w:val="17"/>
          <w:color w:val="auto"/>
        </w:rPr>
      </w:pPr>
      <w:r>
        <w:rPr>
          <w:rFonts w:ascii="Arial" w:cs="Arial" w:eastAsia="Arial" w:hAnsi="Arial"/>
          <w:sz w:val="17"/>
          <w:szCs w:val="17"/>
          <w:color w:val="auto"/>
        </w:rPr>
        <w:t>Operating margin is calculated as revenues from mining operations less production costs.</w:t>
      </w:r>
    </w:p>
    <w:p>
      <w:pPr>
        <w:spacing w:after="0" w:line="250" w:lineRule="exact"/>
        <w:rPr>
          <w:rFonts w:ascii="Arial" w:cs="Arial" w:eastAsia="Arial" w:hAnsi="Arial"/>
          <w:sz w:val="17"/>
          <w:szCs w:val="17"/>
          <w:color w:val="auto"/>
        </w:rPr>
      </w:pPr>
    </w:p>
    <w:p>
      <w:pPr>
        <w:jc w:val="both"/>
        <w:ind w:left="540" w:hanging="533"/>
        <w:spacing w:after="0" w:line="270" w:lineRule="auto"/>
        <w:tabs>
          <w:tab w:leader="none" w:pos="540" w:val="left"/>
        </w:tabs>
        <w:numPr>
          <w:ilvl w:val="0"/>
          <w:numId w:val="5"/>
        </w:numPr>
        <w:rPr>
          <w:rFonts w:ascii="Arial" w:cs="Arial" w:eastAsia="Arial" w:hAnsi="Arial"/>
          <w:sz w:val="17"/>
          <w:szCs w:val="17"/>
          <w:color w:val="auto"/>
        </w:rPr>
      </w:pPr>
      <w:r>
        <w:rPr>
          <w:rFonts w:ascii="Arial" w:cs="Arial" w:eastAsia="Arial" w:hAnsi="Arial"/>
          <w:sz w:val="17"/>
          <w:szCs w:val="17"/>
          <w:color w:val="auto"/>
        </w:rPr>
        <w:t>On June 16, 2014, Agnico Eagle and Yamana jointly acquired 100.0% of Osisko by way of the Arrangement. As a result of the Arrangement, Agnico Eagle and Yamana each indirectly own 50.0% of CMC and the Partnership, which now holds the Canadian Malartic mine. The information set out in this table reflects the Company's 50.0% interest in the Canadian Malartic mine.</w:t>
      </w:r>
    </w:p>
    <w:p>
      <w:pPr>
        <w:spacing w:after="0" w:line="192" w:lineRule="exact"/>
        <w:rPr>
          <w:rFonts w:ascii="Arial" w:cs="Arial" w:eastAsia="Arial" w:hAnsi="Arial"/>
          <w:sz w:val="17"/>
          <w:szCs w:val="17"/>
          <w:color w:val="auto"/>
        </w:rPr>
      </w:pPr>
    </w:p>
    <w:p>
      <w:pPr>
        <w:jc w:val="both"/>
        <w:ind w:left="540" w:hanging="533"/>
        <w:spacing w:after="0" w:line="270" w:lineRule="auto"/>
        <w:tabs>
          <w:tab w:leader="none" w:pos="540" w:val="left"/>
        </w:tabs>
        <w:numPr>
          <w:ilvl w:val="0"/>
          <w:numId w:val="5"/>
        </w:numPr>
        <w:rPr>
          <w:rFonts w:ascii="Arial" w:cs="Arial" w:eastAsia="Arial" w:hAnsi="Arial"/>
          <w:sz w:val="17"/>
          <w:szCs w:val="17"/>
          <w:color w:val="auto"/>
        </w:rPr>
      </w:pPr>
      <w:r>
        <w:rPr>
          <w:rFonts w:ascii="Arial" w:cs="Arial" w:eastAsia="Arial" w:hAnsi="Arial"/>
          <w:sz w:val="17"/>
          <w:szCs w:val="17"/>
          <w:color w:val="auto"/>
        </w:rPr>
        <w:t>Payable production (a non-GAAP non-financial performance measure) is the quantity of mineral produced during a period contained in products that are or will be sold by the Company, whether such products are sold during the period or held as inventories at the end of the period.</w:t>
      </w:r>
    </w:p>
    <w:p>
      <w:pPr>
        <w:spacing w:after="0" w:line="192" w:lineRule="exact"/>
        <w:rPr>
          <w:rFonts w:ascii="Arial" w:cs="Arial" w:eastAsia="Arial" w:hAnsi="Arial"/>
          <w:sz w:val="17"/>
          <w:szCs w:val="17"/>
          <w:color w:val="auto"/>
        </w:rPr>
      </w:pPr>
    </w:p>
    <w:p>
      <w:pPr>
        <w:ind w:left="540" w:hanging="533"/>
        <w:spacing w:after="0" w:line="282" w:lineRule="auto"/>
        <w:tabs>
          <w:tab w:leader="none" w:pos="540" w:val="left"/>
        </w:tabs>
        <w:numPr>
          <w:ilvl w:val="0"/>
          <w:numId w:val="5"/>
        </w:numPr>
        <w:rPr>
          <w:rFonts w:ascii="Arial" w:cs="Arial" w:eastAsia="Arial" w:hAnsi="Arial"/>
          <w:sz w:val="17"/>
          <w:szCs w:val="17"/>
          <w:color w:val="auto"/>
        </w:rPr>
      </w:pPr>
      <w:r>
        <w:rPr>
          <w:rFonts w:ascii="Arial" w:cs="Arial" w:eastAsia="Arial" w:hAnsi="Arial"/>
          <w:sz w:val="17"/>
          <w:szCs w:val="17"/>
          <w:color w:val="auto"/>
        </w:rPr>
        <w:t>The Canadian Malartic mine's payable metal sold excludes the 5.0% net smelter royalty transferred to Osisko Gold Royalties Ltd., pursuant to the Arrangement.</w:t>
      </w:r>
    </w:p>
    <w:p>
      <w:pPr>
        <w:spacing w:after="0" w:line="196" w:lineRule="exact"/>
        <w:rPr>
          <w:rFonts w:ascii="Arial" w:cs="Arial" w:eastAsia="Arial" w:hAnsi="Arial"/>
          <w:sz w:val="17"/>
          <w:szCs w:val="17"/>
          <w:color w:val="auto"/>
        </w:rPr>
      </w:pPr>
    </w:p>
    <w:p>
      <w:pPr>
        <w:jc w:val="both"/>
        <w:ind w:left="540" w:hanging="533"/>
        <w:spacing w:after="0" w:line="278" w:lineRule="auto"/>
        <w:tabs>
          <w:tab w:leader="none" w:pos="540" w:val="left"/>
        </w:tabs>
        <w:numPr>
          <w:ilvl w:val="0"/>
          <w:numId w:val="5"/>
        </w:numPr>
        <w:rPr>
          <w:rFonts w:ascii="Arial" w:cs="Arial" w:eastAsia="Arial" w:hAnsi="Arial"/>
          <w:sz w:val="16"/>
          <w:szCs w:val="16"/>
          <w:color w:val="auto"/>
        </w:rPr>
      </w:pPr>
      <w:r>
        <w:rPr>
          <w:rFonts w:ascii="Arial" w:cs="Arial" w:eastAsia="Arial" w:hAnsi="Arial"/>
          <w:sz w:val="16"/>
          <w:szCs w:val="16"/>
          <w:color w:val="auto"/>
        </w:rPr>
        <w:t>Total cash costs per ounce of gold produced is not a recognized measure under IFRS and this data may not be comparable to data reported by other gold producers. Total cash costs per ounce of gold produced is reported on both a by-product basis (deducting by-product metal revenues from production costs) and co-product basis (before by-product metal revenues). Total cash costs per ounce of gold produced on a by-product basis is calculated by adjusting production costs as recorded in the condensed interim consolidated statements of income and comprehensive income for by-product metal revenues, unsold concentrate inventory production costs, smelting, refining and marketing charges and other adjustments, and then dividing by the number of ounces of gold produced. Total cash costs per ounce of gold produced on a co-product basis is calculated in the same manner as total cash costs per ounce of gold produced on a by-product basis except that no adjustment for by-product metal revenues is made. Accordingly, the calculation of total cash costs per ounce of gold produced on a co-product basis does not reflect a reduction in production costs or smelting, refining and</w:t>
      </w:r>
    </w:p>
    <w:p>
      <w:pPr>
        <w:sectPr>
          <w:pgSz w:w="11900" w:h="16838" w:orient="portrait"/>
          <w:cols w:equalWidth="0" w:num="1">
            <w:col w:w="10280"/>
          </w:cols>
          <w:pgMar w:left="1380" w:top="337" w:right="239" w:bottom="1440" w:gutter="0" w:footer="0" w:header="0"/>
        </w:sectPr>
      </w:pPr>
    </w:p>
    <w:p>
      <w:pPr>
        <w:spacing w:after="0" w:line="179" w:lineRule="exact"/>
        <w:rPr>
          <w:sz w:val="20"/>
          <w:szCs w:val="20"/>
          <w:color w:val="auto"/>
        </w:rPr>
      </w:pPr>
    </w:p>
    <w:p>
      <w:pPr>
        <w:ind w:left="4480"/>
        <w:spacing w:after="0"/>
        <w:rPr>
          <w:sz w:val="20"/>
          <w:szCs w:val="20"/>
          <w:color w:val="auto"/>
        </w:rPr>
      </w:pPr>
      <w:r>
        <w:rPr>
          <w:rFonts w:ascii="Arial" w:cs="Arial" w:eastAsia="Arial" w:hAnsi="Arial"/>
          <w:sz w:val="16"/>
          <w:szCs w:val="16"/>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153035</wp:posOffset>
            </wp:positionV>
            <wp:extent cx="7254875" cy="209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0280"/>
          </w:cols>
          <w:pgMar w:left="1380" w:top="337" w:right="239" w:bottom="1440" w:gutter="0" w:footer="0" w:header="0"/>
          <w:type w:val="continuous"/>
        </w:sectPr>
      </w:pPr>
    </w:p>
    <w:bookmarkStart w:id="27" w:name="page28"/>
    <w:bookmarkEnd w:id="27"/>
    <w:p>
      <w:pPr>
        <w:jc w:val="center"/>
        <w:ind w:left="480" w:right="1680"/>
        <w:spacing w:after="0" w:line="272" w:lineRule="auto"/>
        <w:rPr>
          <w:sz w:val="20"/>
          <w:szCs w:val="20"/>
          <w:color w:val="auto"/>
        </w:rPr>
      </w:pPr>
      <w:r>
        <w:rPr>
          <w:rFonts w:ascii="Arial" w:cs="Arial" w:eastAsia="Arial" w:hAnsi="Arial"/>
          <w:sz w:val="17"/>
          <w:szCs w:val="17"/>
          <w:b w:val="1"/>
          <w:bCs w:val="1"/>
          <w:color w:val="auto"/>
        </w:rPr>
        <w:t>AGNICO EAGLE MINES LIMITED SUMMARY OF OPERATIONS KEY PERFORMANCE INDICATORS (thousands of United States dollars, except where noted)</w:t>
      </w:r>
    </w:p>
    <w:p>
      <w:pPr>
        <w:spacing w:after="0" w:line="178" w:lineRule="exact"/>
        <w:rPr>
          <w:sz w:val="20"/>
          <w:szCs w:val="20"/>
          <w:color w:val="auto"/>
        </w:rPr>
      </w:pPr>
    </w:p>
    <w:p>
      <w:pPr>
        <w:jc w:val="both"/>
        <w:ind w:left="480"/>
        <w:spacing w:after="0" w:line="278" w:lineRule="auto"/>
        <w:rPr>
          <w:sz w:val="20"/>
          <w:szCs w:val="20"/>
          <w:color w:val="auto"/>
        </w:rPr>
      </w:pPr>
      <w:r>
        <w:rPr>
          <w:rFonts w:ascii="Arial" w:cs="Arial" w:eastAsia="Arial" w:hAnsi="Arial"/>
          <w:sz w:val="16"/>
          <w:szCs w:val="16"/>
          <w:color w:val="auto"/>
        </w:rPr>
        <w:t>marketing charges associated with the production and sale of by-product metals. The Company believes that these generally accepted industry measures provide a realistic indication of operating performance and provide useful comparison points between periods. Total cash costs per ounce of gold produced is intended to provide information about the cash generating capabilities of the Company's mining operations. Management also uses these measures to monitor the performance of the Company's mining operations. As market prices for gold are quoted on a per ounce basis, using the total cash costs per ounce of gold produced on a by-product basis measure allows management to assess a mine's cash generating capabilities at various gold prices. Management is aware that these per ounce measures of performance can be affected by fluctuations in exchange rates and, in the case of total cash costs of gold produced on a by-product basis, by-product metal prices. Management compensates for these inherent limitations by using these measures in conjunction with minesite costs per tonne as well as other data prepared in accordance with IFRS. Management also performs sensitivity analyses in order to quantify the effects of fluctuating metal prices and exchange rates.</w:t>
      </w:r>
    </w:p>
    <w:p>
      <w:pPr>
        <w:spacing w:after="0" w:line="176" w:lineRule="exact"/>
        <w:rPr>
          <w:sz w:val="20"/>
          <w:szCs w:val="20"/>
          <w:color w:val="auto"/>
        </w:rPr>
      </w:pPr>
    </w:p>
    <w:p>
      <w:pPr>
        <w:ind w:left="4420"/>
        <w:spacing w:after="0"/>
        <w:rPr>
          <w:sz w:val="20"/>
          <w:szCs w:val="20"/>
          <w:color w:val="auto"/>
        </w:rPr>
      </w:pPr>
      <w:r>
        <w:rPr>
          <w:rFonts w:ascii="Arial" w:cs="Arial" w:eastAsia="Arial" w:hAnsi="Arial"/>
          <w:sz w:val="17"/>
          <w:szCs w:val="17"/>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-760730</wp:posOffset>
            </wp:positionH>
            <wp:positionV relativeFrom="paragraph">
              <wp:posOffset>145415</wp:posOffset>
            </wp:positionV>
            <wp:extent cx="7254875" cy="209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0220"/>
          </w:cols>
          <w:pgMar w:left="1440" w:top="337" w:right="239" w:bottom="1440" w:gutter="0" w:footer="0" w:header="0"/>
        </w:sectPr>
      </w:pPr>
    </w:p>
    <w:bookmarkStart w:id="28" w:name="page29"/>
    <w:bookmarkEnd w:id="28"/>
    <w:p>
      <w:pPr>
        <w:ind w:left="3200"/>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ind w:right="1140"/>
        <w:spacing w:after="0"/>
        <w:rPr>
          <w:sz w:val="20"/>
          <w:szCs w:val="20"/>
          <w:color w:val="auto"/>
        </w:rPr>
      </w:pPr>
      <w:r>
        <w:rPr>
          <w:rFonts w:ascii="Arial" w:cs="Arial" w:eastAsia="Arial" w:hAnsi="Arial"/>
          <w:sz w:val="17"/>
          <w:szCs w:val="17"/>
          <w:b w:val="1"/>
          <w:bCs w:val="1"/>
          <w:color w:val="auto"/>
        </w:rPr>
        <w:t>SUMMARIZED QUARTERLY DATA</w:t>
      </w:r>
    </w:p>
    <w:p>
      <w:pPr>
        <w:spacing w:after="0" w:line="14" w:lineRule="exact"/>
        <w:rPr>
          <w:sz w:val="20"/>
          <w:szCs w:val="20"/>
          <w:color w:val="auto"/>
        </w:rPr>
      </w:pPr>
    </w:p>
    <w:p>
      <w:pPr>
        <w:jc w:val="center"/>
        <w:ind w:right="1180"/>
        <w:spacing w:after="0"/>
        <w:rPr>
          <w:sz w:val="20"/>
          <w:szCs w:val="20"/>
          <w:color w:val="auto"/>
        </w:rPr>
      </w:pPr>
      <w:r>
        <w:rPr>
          <w:rFonts w:ascii="Arial" w:cs="Arial" w:eastAsia="Arial" w:hAnsi="Arial"/>
          <w:sz w:val="17"/>
          <w:szCs w:val="17"/>
          <w:b w:val="1"/>
          <w:bCs w:val="1"/>
          <w:color w:val="auto"/>
        </w:rPr>
        <w:t>(thousands of United States dollars, except where noted)</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57"/>
        </w:trPr>
        <w:tc>
          <w:tcPr>
            <w:tcW w:w="7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1580" w:type="dxa"/>
            <w:vAlign w:val="bottom"/>
            <w:tcBorders>
              <w:bottom w:val="single" w:sz="8" w:color="auto"/>
            </w:tcBorders>
            <w:gridSpan w:val="5"/>
          </w:tcPr>
          <w:p>
            <w:pPr>
              <w:jc w:val="right"/>
              <w:ind w:right="320"/>
              <w:spacing w:after="0"/>
              <w:rPr>
                <w:sz w:val="20"/>
                <w:szCs w:val="20"/>
                <w:color w:val="auto"/>
              </w:rPr>
            </w:pPr>
            <w:r>
              <w:rPr>
                <w:rFonts w:ascii="Arial" w:cs="Arial" w:eastAsia="Arial" w:hAnsi="Arial"/>
                <w:sz w:val="13"/>
                <w:szCs w:val="13"/>
                <w:b w:val="1"/>
                <w:bCs w:val="1"/>
                <w:color w:val="auto"/>
                <w:w w:val="96"/>
              </w:rPr>
              <w:t>Three Months Ended</w:t>
            </w:r>
          </w:p>
        </w:tc>
        <w:tc>
          <w:tcPr>
            <w:tcW w:w="8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58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4"/>
        </w:trPr>
        <w:tc>
          <w:tcPr>
            <w:tcW w:w="7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60" w:type="dxa"/>
            <w:vAlign w:val="bottom"/>
            <w:gridSpan w:val="2"/>
          </w:tcPr>
          <w:p>
            <w:pPr>
              <w:jc w:val="right"/>
              <w:ind w:right="280"/>
              <w:spacing w:after="0" w:line="124" w:lineRule="exact"/>
              <w:rPr>
                <w:sz w:val="20"/>
                <w:szCs w:val="20"/>
                <w:color w:val="auto"/>
              </w:rPr>
            </w:pPr>
            <w:r>
              <w:rPr>
                <w:rFonts w:ascii="Arial" w:cs="Arial" w:eastAsia="Arial" w:hAnsi="Arial"/>
                <w:sz w:val="13"/>
                <w:szCs w:val="13"/>
                <w:b w:val="1"/>
                <w:bCs w:val="1"/>
                <w:color w:val="auto"/>
                <w:w w:val="88"/>
              </w:rPr>
              <w:t>June 30,</w:t>
            </w:r>
          </w:p>
        </w:tc>
        <w:tc>
          <w:tcPr>
            <w:tcW w:w="80" w:type="dxa"/>
            <w:vAlign w:val="bottom"/>
          </w:tcPr>
          <w:p>
            <w:pPr>
              <w:spacing w:after="0"/>
              <w:rPr>
                <w:sz w:val="10"/>
                <w:szCs w:val="10"/>
                <w:color w:val="auto"/>
              </w:rPr>
            </w:pPr>
          </w:p>
        </w:tc>
        <w:tc>
          <w:tcPr>
            <w:tcW w:w="1020" w:type="dxa"/>
            <w:vAlign w:val="bottom"/>
            <w:gridSpan w:val="2"/>
          </w:tcPr>
          <w:p>
            <w:pPr>
              <w:jc w:val="right"/>
              <w:ind w:right="220"/>
              <w:spacing w:after="0" w:line="124" w:lineRule="exact"/>
              <w:rPr>
                <w:sz w:val="20"/>
                <w:szCs w:val="20"/>
                <w:color w:val="auto"/>
              </w:rPr>
            </w:pPr>
            <w:r>
              <w:rPr>
                <w:rFonts w:ascii="Arial" w:cs="Arial" w:eastAsia="Arial" w:hAnsi="Arial"/>
                <w:sz w:val="13"/>
                <w:szCs w:val="13"/>
                <w:b w:val="1"/>
                <w:bCs w:val="1"/>
                <w:color w:val="auto"/>
                <w:w w:val="87"/>
              </w:rPr>
              <w:t>September 30,</w:t>
            </w:r>
          </w:p>
        </w:tc>
        <w:tc>
          <w:tcPr>
            <w:tcW w:w="80" w:type="dxa"/>
            <w:vAlign w:val="bottom"/>
          </w:tcPr>
          <w:p>
            <w:pPr>
              <w:spacing w:after="0"/>
              <w:rPr>
                <w:sz w:val="10"/>
                <w:szCs w:val="10"/>
                <w:color w:val="auto"/>
              </w:rPr>
            </w:pPr>
          </w:p>
        </w:tc>
        <w:tc>
          <w:tcPr>
            <w:tcW w:w="1000" w:type="dxa"/>
            <w:vAlign w:val="bottom"/>
            <w:gridSpan w:val="2"/>
          </w:tcPr>
          <w:p>
            <w:pPr>
              <w:jc w:val="center"/>
              <w:ind w:right="240"/>
              <w:spacing w:after="0" w:line="124" w:lineRule="exact"/>
              <w:rPr>
                <w:sz w:val="20"/>
                <w:szCs w:val="20"/>
                <w:color w:val="auto"/>
              </w:rPr>
            </w:pPr>
            <w:r>
              <w:rPr>
                <w:rFonts w:ascii="Arial" w:cs="Arial" w:eastAsia="Arial" w:hAnsi="Arial"/>
                <w:sz w:val="13"/>
                <w:szCs w:val="13"/>
                <w:b w:val="1"/>
                <w:bCs w:val="1"/>
                <w:color w:val="auto"/>
                <w:w w:val="89"/>
              </w:rPr>
              <w:t>December 31,</w:t>
            </w:r>
          </w:p>
        </w:tc>
        <w:tc>
          <w:tcPr>
            <w:tcW w:w="880" w:type="dxa"/>
            <w:vAlign w:val="bottom"/>
            <w:gridSpan w:val="3"/>
          </w:tcPr>
          <w:p>
            <w:pPr>
              <w:jc w:val="center"/>
              <w:ind w:right="140"/>
              <w:spacing w:after="0" w:line="124" w:lineRule="exact"/>
              <w:rPr>
                <w:sz w:val="20"/>
                <w:szCs w:val="20"/>
                <w:color w:val="auto"/>
              </w:rPr>
            </w:pPr>
            <w:r>
              <w:rPr>
                <w:rFonts w:ascii="Arial" w:cs="Arial" w:eastAsia="Arial" w:hAnsi="Arial"/>
                <w:sz w:val="13"/>
                <w:szCs w:val="13"/>
                <w:b w:val="1"/>
                <w:bCs w:val="1"/>
                <w:color w:val="auto"/>
                <w:w w:val="96"/>
              </w:rPr>
              <w:t>March 31,</w:t>
            </w:r>
          </w:p>
        </w:tc>
        <w:tc>
          <w:tcPr>
            <w:tcW w:w="100" w:type="dxa"/>
            <w:vAlign w:val="bottom"/>
          </w:tcPr>
          <w:p>
            <w:pPr>
              <w:spacing w:after="0"/>
              <w:rPr>
                <w:sz w:val="10"/>
                <w:szCs w:val="10"/>
                <w:color w:val="auto"/>
              </w:rPr>
            </w:pPr>
          </w:p>
        </w:tc>
        <w:tc>
          <w:tcPr>
            <w:tcW w:w="740" w:type="dxa"/>
            <w:vAlign w:val="bottom"/>
            <w:gridSpan w:val="2"/>
          </w:tcPr>
          <w:p>
            <w:pPr>
              <w:jc w:val="right"/>
              <w:ind w:right="260"/>
              <w:spacing w:after="0" w:line="124" w:lineRule="exact"/>
              <w:rPr>
                <w:sz w:val="20"/>
                <w:szCs w:val="20"/>
                <w:color w:val="auto"/>
              </w:rPr>
            </w:pPr>
            <w:r>
              <w:rPr>
                <w:rFonts w:ascii="Arial" w:cs="Arial" w:eastAsia="Arial" w:hAnsi="Arial"/>
                <w:sz w:val="13"/>
                <w:szCs w:val="13"/>
                <w:b w:val="1"/>
                <w:bCs w:val="1"/>
                <w:color w:val="auto"/>
                <w:w w:val="88"/>
              </w:rPr>
              <w:t>June 30,</w:t>
            </w:r>
          </w:p>
        </w:tc>
        <w:tc>
          <w:tcPr>
            <w:tcW w:w="80" w:type="dxa"/>
            <w:vAlign w:val="bottom"/>
          </w:tcPr>
          <w:p>
            <w:pPr>
              <w:spacing w:after="0"/>
              <w:rPr>
                <w:sz w:val="10"/>
                <w:szCs w:val="10"/>
                <w:color w:val="auto"/>
              </w:rPr>
            </w:pPr>
          </w:p>
        </w:tc>
        <w:tc>
          <w:tcPr>
            <w:tcW w:w="1040" w:type="dxa"/>
            <w:vAlign w:val="bottom"/>
            <w:gridSpan w:val="2"/>
          </w:tcPr>
          <w:p>
            <w:pPr>
              <w:jc w:val="right"/>
              <w:ind w:right="240"/>
              <w:spacing w:after="0" w:line="124" w:lineRule="exact"/>
              <w:rPr>
                <w:sz w:val="20"/>
                <w:szCs w:val="20"/>
                <w:color w:val="auto"/>
              </w:rPr>
            </w:pPr>
            <w:r>
              <w:rPr>
                <w:rFonts w:ascii="Arial" w:cs="Arial" w:eastAsia="Arial" w:hAnsi="Arial"/>
                <w:sz w:val="13"/>
                <w:szCs w:val="13"/>
                <w:b w:val="1"/>
                <w:bCs w:val="1"/>
                <w:color w:val="auto"/>
                <w:w w:val="87"/>
              </w:rPr>
              <w:t>September 30,</w:t>
            </w:r>
          </w:p>
        </w:tc>
        <w:tc>
          <w:tcPr>
            <w:tcW w:w="80" w:type="dxa"/>
            <w:vAlign w:val="bottom"/>
          </w:tcPr>
          <w:p>
            <w:pPr>
              <w:spacing w:after="0"/>
              <w:rPr>
                <w:sz w:val="10"/>
                <w:szCs w:val="10"/>
                <w:color w:val="auto"/>
              </w:rPr>
            </w:pPr>
          </w:p>
        </w:tc>
        <w:tc>
          <w:tcPr>
            <w:tcW w:w="980" w:type="dxa"/>
            <w:vAlign w:val="bottom"/>
            <w:gridSpan w:val="2"/>
          </w:tcPr>
          <w:p>
            <w:pPr>
              <w:jc w:val="right"/>
              <w:ind w:right="220"/>
              <w:spacing w:after="0" w:line="124" w:lineRule="exact"/>
              <w:rPr>
                <w:sz w:val="20"/>
                <w:szCs w:val="20"/>
                <w:color w:val="auto"/>
              </w:rPr>
            </w:pPr>
            <w:r>
              <w:rPr>
                <w:rFonts w:ascii="Arial" w:cs="Arial" w:eastAsia="Arial" w:hAnsi="Arial"/>
                <w:sz w:val="13"/>
                <w:szCs w:val="13"/>
                <w:b w:val="1"/>
                <w:bCs w:val="1"/>
                <w:color w:val="auto"/>
                <w:w w:val="87"/>
              </w:rPr>
              <w:t>December 31,</w:t>
            </w:r>
          </w:p>
        </w:tc>
        <w:tc>
          <w:tcPr>
            <w:tcW w:w="740" w:type="dxa"/>
            <w:vAlign w:val="bottom"/>
            <w:gridSpan w:val="2"/>
          </w:tcPr>
          <w:p>
            <w:pPr>
              <w:jc w:val="right"/>
              <w:ind w:right="14"/>
              <w:spacing w:after="0" w:line="124" w:lineRule="exact"/>
              <w:rPr>
                <w:sz w:val="20"/>
                <w:szCs w:val="20"/>
                <w:color w:val="auto"/>
              </w:rPr>
            </w:pPr>
            <w:r>
              <w:rPr>
                <w:rFonts w:ascii="Arial" w:cs="Arial" w:eastAsia="Arial" w:hAnsi="Arial"/>
                <w:sz w:val="13"/>
                <w:szCs w:val="13"/>
                <w:b w:val="1"/>
                <w:bCs w:val="1"/>
                <w:color w:val="auto"/>
              </w:rPr>
              <w:t>March 31,</w:t>
            </w: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7"/>
        </w:trPr>
        <w:tc>
          <w:tcPr>
            <w:tcW w:w="7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jc w:val="right"/>
              <w:ind w:right="154"/>
              <w:spacing w:after="0"/>
              <w:rPr>
                <w:sz w:val="20"/>
                <w:szCs w:val="20"/>
                <w:color w:val="auto"/>
              </w:rPr>
            </w:pPr>
            <w:r>
              <w:rPr>
                <w:rFonts w:ascii="Arial" w:cs="Arial" w:eastAsia="Arial" w:hAnsi="Arial"/>
                <w:sz w:val="13"/>
                <w:szCs w:val="13"/>
                <w:b w:val="1"/>
                <w:bCs w:val="1"/>
                <w:color w:val="auto"/>
              </w:rPr>
              <w:t>2014</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294"/>
              <w:spacing w:after="0"/>
              <w:rPr>
                <w:sz w:val="20"/>
                <w:szCs w:val="20"/>
                <w:color w:val="auto"/>
              </w:rPr>
            </w:pPr>
            <w:r>
              <w:rPr>
                <w:rFonts w:ascii="Arial" w:cs="Arial" w:eastAsia="Arial" w:hAnsi="Arial"/>
                <w:sz w:val="13"/>
                <w:szCs w:val="13"/>
                <w:b w:val="1"/>
                <w:bCs w:val="1"/>
                <w:color w:val="auto"/>
              </w:rPr>
              <w:t>2014</w:t>
            </w:r>
          </w:p>
        </w:tc>
        <w:tc>
          <w:tcPr>
            <w:tcW w:w="14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right"/>
              <w:ind w:right="254"/>
              <w:spacing w:after="0"/>
              <w:rPr>
                <w:sz w:val="20"/>
                <w:szCs w:val="20"/>
                <w:color w:val="auto"/>
              </w:rPr>
            </w:pPr>
            <w:r>
              <w:rPr>
                <w:rFonts w:ascii="Arial" w:cs="Arial" w:eastAsia="Arial" w:hAnsi="Arial"/>
                <w:sz w:val="13"/>
                <w:szCs w:val="13"/>
                <w:b w:val="1"/>
                <w:bCs w:val="1"/>
                <w:color w:val="auto"/>
              </w:rPr>
              <w:t>2014</w:t>
            </w:r>
          </w:p>
        </w:tc>
        <w:tc>
          <w:tcPr>
            <w:tcW w:w="16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580" w:type="dxa"/>
            <w:vAlign w:val="bottom"/>
            <w:tcBorders>
              <w:bottom w:val="single" w:sz="8" w:color="auto"/>
            </w:tcBorders>
          </w:tcPr>
          <w:p>
            <w:pPr>
              <w:jc w:val="right"/>
              <w:ind w:right="154"/>
              <w:spacing w:after="0"/>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580" w:type="dxa"/>
            <w:vAlign w:val="bottom"/>
            <w:tcBorders>
              <w:bottom w:val="single" w:sz="8" w:color="auto"/>
            </w:tcBorders>
          </w:tcPr>
          <w:p>
            <w:pPr>
              <w:jc w:val="right"/>
              <w:ind w:right="134"/>
              <w:spacing w:after="0"/>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274"/>
              <w:spacing w:after="0"/>
              <w:rPr>
                <w:sz w:val="20"/>
                <w:szCs w:val="20"/>
                <w:color w:val="auto"/>
              </w:rPr>
            </w:pPr>
            <w:r>
              <w:rPr>
                <w:rFonts w:ascii="Arial" w:cs="Arial" w:eastAsia="Arial" w:hAnsi="Arial"/>
                <w:sz w:val="13"/>
                <w:szCs w:val="13"/>
                <w:b w:val="1"/>
                <w:bCs w:val="1"/>
                <w:color w:val="auto"/>
              </w:rPr>
              <w:t>2015</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right"/>
              <w:ind w:right="274"/>
              <w:spacing w:after="0"/>
              <w:rPr>
                <w:sz w:val="20"/>
                <w:szCs w:val="20"/>
                <w:color w:val="auto"/>
              </w:rPr>
            </w:pPr>
            <w:r>
              <w:rPr>
                <w:rFonts w:ascii="Arial" w:cs="Arial" w:eastAsia="Arial" w:hAnsi="Arial"/>
                <w:sz w:val="13"/>
                <w:szCs w:val="13"/>
                <w:b w:val="1"/>
                <w:bCs w:val="1"/>
                <w:color w:val="auto"/>
              </w:rPr>
              <w:t>2015</w:t>
            </w:r>
          </w:p>
        </w:tc>
        <w:tc>
          <w:tcPr>
            <w:tcW w:w="14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580" w:type="dxa"/>
            <w:vAlign w:val="bottom"/>
            <w:tcBorders>
              <w:bottom w:val="single" w:sz="8" w:color="auto"/>
            </w:tcBorders>
          </w:tcPr>
          <w:p>
            <w:pPr>
              <w:jc w:val="right"/>
              <w:ind w:right="174"/>
              <w:spacing w:after="0"/>
              <w:rPr>
                <w:sz w:val="20"/>
                <w:szCs w:val="20"/>
                <w:color w:val="auto"/>
              </w:rPr>
            </w:pPr>
            <w:r>
              <w:rPr>
                <w:rFonts w:ascii="Arial" w:cs="Arial" w:eastAsia="Arial" w:hAnsi="Arial"/>
                <w:sz w:val="13"/>
                <w:szCs w:val="13"/>
                <w:b w:val="1"/>
                <w:bCs w:val="1"/>
                <w:color w:val="auto"/>
              </w:rPr>
              <w:t>2016</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4"/>
        </w:trPr>
        <w:tc>
          <w:tcPr>
            <w:tcW w:w="1440" w:type="dxa"/>
            <w:vAlign w:val="bottom"/>
            <w:gridSpan w:val="2"/>
            <w:shd w:val="clear" w:color="auto" w:fill="CCEEFF"/>
          </w:tcPr>
          <w:p>
            <w:pPr>
              <w:spacing w:after="0" w:line="164" w:lineRule="exact"/>
              <w:rPr>
                <w:sz w:val="20"/>
                <w:szCs w:val="20"/>
                <w:color w:val="auto"/>
              </w:rPr>
            </w:pPr>
            <w:r>
              <w:rPr>
                <w:rFonts w:ascii="Arial" w:cs="Arial" w:eastAsia="Arial" w:hAnsi="Arial"/>
                <w:sz w:val="12"/>
                <w:szCs w:val="12"/>
                <w:b w:val="1"/>
                <w:bCs w:val="1"/>
                <w:color w:val="auto"/>
              </w:rPr>
              <w:t>Operating margin</w:t>
            </w:r>
            <w:r>
              <w:rPr>
                <w:rFonts w:ascii="Arial" w:cs="Arial" w:eastAsia="Arial" w:hAnsi="Arial"/>
                <w:sz w:val="18"/>
                <w:szCs w:val="18"/>
                <w:b w:val="1"/>
                <w:bCs w:val="1"/>
                <w:color w:val="auto"/>
                <w:vertAlign w:val="superscript"/>
              </w:rPr>
              <w:t>(i)</w:t>
            </w:r>
            <w:r>
              <w:rPr>
                <w:rFonts w:ascii="Arial" w:cs="Arial" w:eastAsia="Arial" w:hAnsi="Arial"/>
                <w:sz w:val="12"/>
                <w:szCs w:val="12"/>
                <w:b w:val="1"/>
                <w:bCs w:val="1"/>
                <w:color w:val="auto"/>
              </w:rPr>
              <w:t>:</w:t>
            </w:r>
          </w:p>
        </w:tc>
        <w:tc>
          <w:tcPr>
            <w:tcW w:w="8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1440" w:type="dxa"/>
            <w:vAlign w:val="bottom"/>
            <w:gridSpan w:val="2"/>
          </w:tcPr>
          <w:p>
            <w:pPr>
              <w:spacing w:after="0" w:line="136" w:lineRule="exact"/>
              <w:rPr>
                <w:sz w:val="20"/>
                <w:szCs w:val="20"/>
                <w:color w:val="auto"/>
              </w:rPr>
            </w:pPr>
            <w:r>
              <w:rPr>
                <w:rFonts w:ascii="Arial" w:cs="Arial" w:eastAsia="Arial" w:hAnsi="Arial"/>
                <w:sz w:val="13"/>
                <w:szCs w:val="13"/>
                <w:color w:val="auto"/>
              </w:rPr>
              <w:t>Revenues from mining</w:t>
            </w: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operations</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60" w:type="dxa"/>
            <w:vAlign w:val="bottom"/>
            <w:gridSpan w:val="2"/>
          </w:tcPr>
          <w:p>
            <w:pPr>
              <w:jc w:val="right"/>
              <w:ind w:right="160"/>
              <w:spacing w:after="0"/>
              <w:rPr>
                <w:sz w:val="20"/>
                <w:szCs w:val="20"/>
                <w:color w:val="auto"/>
              </w:rPr>
            </w:pPr>
            <w:r>
              <w:rPr>
                <w:rFonts w:ascii="Arial" w:cs="Arial" w:eastAsia="Arial" w:hAnsi="Arial"/>
                <w:sz w:val="13"/>
                <w:szCs w:val="13"/>
                <w:color w:val="auto"/>
              </w:rPr>
              <w:t>438,521</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463,388</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503,090</w:t>
            </w: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483,596</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510,109</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508,795</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980" w:type="dxa"/>
            <w:vAlign w:val="bottom"/>
            <w:gridSpan w:val="2"/>
          </w:tcPr>
          <w:p>
            <w:pPr>
              <w:jc w:val="right"/>
              <w:ind w:right="140"/>
              <w:spacing w:after="0"/>
              <w:rPr>
                <w:sz w:val="20"/>
                <w:szCs w:val="20"/>
                <w:color w:val="auto"/>
              </w:rPr>
            </w:pPr>
            <w:r>
              <w:rPr>
                <w:rFonts w:ascii="Arial" w:cs="Arial" w:eastAsia="Arial" w:hAnsi="Arial"/>
                <w:sz w:val="13"/>
                <w:szCs w:val="13"/>
                <w:color w:val="auto"/>
              </w:rPr>
              <w:t>482,932</w:t>
            </w:r>
          </w:p>
        </w:tc>
        <w:tc>
          <w:tcPr>
            <w:tcW w:w="160" w:type="dxa"/>
            <w:vAlign w:val="bottom"/>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490,531</w:t>
            </w: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Production costs</w:t>
            </w:r>
          </w:p>
        </w:tc>
        <w:tc>
          <w:tcPr>
            <w:tcW w:w="8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229,383</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269,793</w:t>
            </w: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287,317</w:t>
            </w:r>
          </w:p>
        </w:tc>
        <w:tc>
          <w:tcPr>
            <w:tcW w:w="14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247,280</w:t>
            </w: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263,612</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254,584</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229,819</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243,973</w:t>
            </w:r>
          </w:p>
        </w:tc>
        <w:tc>
          <w:tcPr>
            <w:tcW w:w="0" w:type="dxa"/>
            <w:vAlign w:val="bottom"/>
          </w:tcPr>
          <w:p>
            <w:pPr>
              <w:spacing w:after="0"/>
              <w:rPr>
                <w:sz w:val="1"/>
                <w:szCs w:val="1"/>
                <w:color w:val="auto"/>
              </w:rPr>
            </w:pPr>
          </w:p>
        </w:tc>
      </w:tr>
      <w:tr>
        <w:trPr>
          <w:trHeight w:val="26"/>
        </w:trPr>
        <w:tc>
          <w:tcPr>
            <w:tcW w:w="1440" w:type="dxa"/>
            <w:vAlign w:val="bottom"/>
            <w:gridSpan w:val="2"/>
            <w:vMerge w:val="restart"/>
          </w:tcPr>
          <w:p>
            <w:pPr>
              <w:spacing w:after="0"/>
              <w:rPr>
                <w:sz w:val="20"/>
                <w:szCs w:val="20"/>
                <w:color w:val="auto"/>
              </w:rPr>
            </w:pPr>
            <w:r>
              <w:rPr>
                <w:rFonts w:ascii="Arial" w:cs="Arial" w:eastAsia="Arial" w:hAnsi="Arial"/>
                <w:sz w:val="13"/>
                <w:szCs w:val="13"/>
                <w:color w:val="auto"/>
              </w:rPr>
              <w:t>Total operating</w:t>
            </w: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4"/>
        </w:trPr>
        <w:tc>
          <w:tcPr>
            <w:tcW w:w="1440" w:type="dxa"/>
            <w:vAlign w:val="bottom"/>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4"/>
        </w:trPr>
        <w:tc>
          <w:tcPr>
            <w:tcW w:w="1440" w:type="dxa"/>
            <w:vAlign w:val="bottom"/>
            <w:gridSpan w:val="2"/>
          </w:tcPr>
          <w:p>
            <w:pPr>
              <w:ind w:left="140"/>
              <w:spacing w:after="0" w:line="184" w:lineRule="exact"/>
              <w:rPr>
                <w:sz w:val="20"/>
                <w:szCs w:val="20"/>
                <w:color w:val="auto"/>
              </w:rPr>
            </w:pPr>
            <w:r>
              <w:rPr>
                <w:rFonts w:ascii="Arial" w:cs="Arial" w:eastAsia="Arial" w:hAnsi="Arial"/>
                <w:sz w:val="13"/>
                <w:szCs w:val="13"/>
                <w:color w:val="auto"/>
              </w:rPr>
              <w:t>margin</w:t>
            </w:r>
            <w:r>
              <w:rPr>
                <w:rFonts w:ascii="Arial" w:cs="Arial" w:eastAsia="Arial" w:hAnsi="Arial"/>
                <w:sz w:val="21"/>
                <w:szCs w:val="21"/>
                <w:color w:val="auto"/>
                <w:vertAlign w:val="superscript"/>
              </w:rPr>
              <w:t>(i)</w:t>
            </w:r>
          </w:p>
        </w:tc>
        <w:tc>
          <w:tcPr>
            <w:tcW w:w="80" w:type="dxa"/>
            <w:vAlign w:val="bottom"/>
          </w:tcPr>
          <w:p>
            <w:pPr>
              <w:spacing w:after="0"/>
              <w:rPr>
                <w:sz w:val="15"/>
                <w:szCs w:val="15"/>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3"/>
                <w:szCs w:val="13"/>
                <w:color w:val="auto"/>
              </w:rPr>
              <w:t>209,138</w:t>
            </w:r>
          </w:p>
        </w:tc>
        <w:tc>
          <w:tcPr>
            <w:tcW w:w="80" w:type="dxa"/>
            <w:vAlign w:val="bottom"/>
          </w:tcPr>
          <w:p>
            <w:pPr>
              <w:spacing w:after="0"/>
              <w:rPr>
                <w:sz w:val="15"/>
                <w:szCs w:val="15"/>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193,595</w:t>
            </w:r>
          </w:p>
        </w:tc>
        <w:tc>
          <w:tcPr>
            <w:tcW w:w="80" w:type="dxa"/>
            <w:vAlign w:val="bottom"/>
          </w:tcPr>
          <w:p>
            <w:pPr>
              <w:spacing w:after="0"/>
              <w:rPr>
                <w:sz w:val="15"/>
                <w:szCs w:val="15"/>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215,773</w:t>
            </w:r>
          </w:p>
        </w:tc>
        <w:tc>
          <w:tcPr>
            <w:tcW w:w="140" w:type="dxa"/>
            <w:vAlign w:val="bottom"/>
          </w:tcPr>
          <w:p>
            <w:pPr>
              <w:spacing w:after="0"/>
              <w:rPr>
                <w:sz w:val="15"/>
                <w:szCs w:val="15"/>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236,316</w:t>
            </w:r>
          </w:p>
        </w:tc>
        <w:tc>
          <w:tcPr>
            <w:tcW w:w="100" w:type="dxa"/>
            <w:vAlign w:val="bottom"/>
          </w:tcPr>
          <w:p>
            <w:pPr>
              <w:spacing w:after="0"/>
              <w:rPr>
                <w:sz w:val="15"/>
                <w:szCs w:val="15"/>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246,497</w:t>
            </w:r>
          </w:p>
        </w:tc>
        <w:tc>
          <w:tcPr>
            <w:tcW w:w="80" w:type="dxa"/>
            <w:vAlign w:val="bottom"/>
          </w:tcPr>
          <w:p>
            <w:pPr>
              <w:spacing w:after="0"/>
              <w:rPr>
                <w:sz w:val="15"/>
                <w:szCs w:val="15"/>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254,211</w:t>
            </w:r>
          </w:p>
        </w:tc>
        <w:tc>
          <w:tcPr>
            <w:tcW w:w="80" w:type="dxa"/>
            <w:vAlign w:val="bottom"/>
          </w:tcPr>
          <w:p>
            <w:pPr>
              <w:spacing w:after="0"/>
              <w:rPr>
                <w:sz w:val="15"/>
                <w:szCs w:val="15"/>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3"/>
                <w:szCs w:val="13"/>
                <w:color w:val="auto"/>
              </w:rPr>
              <w:t>253,113</w:t>
            </w:r>
          </w:p>
        </w:tc>
        <w:tc>
          <w:tcPr>
            <w:tcW w:w="160" w:type="dxa"/>
            <w:vAlign w:val="bottom"/>
          </w:tcPr>
          <w:p>
            <w:pPr>
              <w:spacing w:after="0"/>
              <w:rPr>
                <w:sz w:val="15"/>
                <w:szCs w:val="15"/>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246,558</w:t>
            </w:r>
          </w:p>
        </w:tc>
        <w:tc>
          <w:tcPr>
            <w:tcW w:w="0" w:type="dxa"/>
            <w:vAlign w:val="bottom"/>
          </w:tcPr>
          <w:p>
            <w:pPr>
              <w:spacing w:after="0"/>
              <w:rPr>
                <w:sz w:val="1"/>
                <w:szCs w:val="1"/>
                <w:color w:val="auto"/>
              </w:rPr>
            </w:pPr>
          </w:p>
        </w:tc>
      </w:tr>
      <w:tr>
        <w:trPr>
          <w:trHeight w:val="328"/>
        </w:trPr>
        <w:tc>
          <w:tcPr>
            <w:tcW w:w="1440" w:type="dxa"/>
            <w:vAlign w:val="bottom"/>
            <w:gridSpan w:val="2"/>
            <w:shd w:val="clear" w:color="auto" w:fill="CCEEFF"/>
          </w:tcPr>
          <w:p>
            <w:pPr>
              <w:spacing w:after="0"/>
              <w:rPr>
                <w:sz w:val="20"/>
                <w:szCs w:val="20"/>
                <w:color w:val="auto"/>
              </w:rPr>
            </w:pPr>
            <w:r>
              <w:rPr>
                <w:rFonts w:ascii="Arial" w:cs="Arial" w:eastAsia="Arial" w:hAnsi="Arial"/>
                <w:sz w:val="13"/>
                <w:szCs w:val="13"/>
                <w:b w:val="1"/>
                <w:bCs w:val="1"/>
                <w:color w:val="auto"/>
              </w:rPr>
              <w:t>Operating margin</w:t>
            </w:r>
            <w:r>
              <w:rPr>
                <w:rFonts w:ascii="Arial" w:cs="Arial" w:eastAsia="Arial" w:hAnsi="Arial"/>
                <w:sz w:val="21"/>
                <w:szCs w:val="21"/>
                <w:b w:val="1"/>
                <w:bCs w:val="1"/>
                <w:color w:val="auto"/>
                <w:vertAlign w:val="superscript"/>
              </w:rPr>
              <w:t>(i)</w:t>
            </w:r>
          </w:p>
        </w:tc>
        <w:tc>
          <w:tcPr>
            <w:tcW w:w="8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1440" w:type="dxa"/>
            <w:vAlign w:val="bottom"/>
            <w:gridSpan w:val="2"/>
            <w:shd w:val="clear" w:color="auto" w:fill="CCEEFF"/>
          </w:tcPr>
          <w:p>
            <w:pPr>
              <w:ind w:left="140"/>
              <w:spacing w:after="0"/>
              <w:rPr>
                <w:sz w:val="20"/>
                <w:szCs w:val="20"/>
                <w:color w:val="auto"/>
              </w:rPr>
            </w:pPr>
            <w:r>
              <w:rPr>
                <w:rFonts w:ascii="Arial" w:cs="Arial" w:eastAsia="Arial" w:hAnsi="Arial"/>
                <w:sz w:val="13"/>
                <w:szCs w:val="13"/>
                <w:b w:val="1"/>
                <w:bCs w:val="1"/>
                <w:color w:val="auto"/>
              </w:rPr>
              <w:t>by mine:</w:t>
            </w:r>
          </w:p>
        </w:tc>
        <w:tc>
          <w:tcPr>
            <w:tcW w:w="8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4"/>
        </w:trPr>
        <w:tc>
          <w:tcPr>
            <w:tcW w:w="1440" w:type="dxa"/>
            <w:vAlign w:val="bottom"/>
            <w:gridSpan w:val="2"/>
          </w:tcPr>
          <w:p>
            <w:pPr>
              <w:spacing w:after="0" w:line="144" w:lineRule="exact"/>
              <w:rPr>
                <w:sz w:val="20"/>
                <w:szCs w:val="20"/>
                <w:color w:val="auto"/>
              </w:rPr>
            </w:pPr>
            <w:r>
              <w:rPr>
                <w:rFonts w:ascii="Arial" w:cs="Arial" w:eastAsia="Arial" w:hAnsi="Arial"/>
                <w:sz w:val="13"/>
                <w:szCs w:val="13"/>
                <w:color w:val="auto"/>
              </w:rPr>
              <w:t>Northern Business</w:t>
            </w: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LaRonde mine</w:t>
            </w:r>
          </w:p>
        </w:tc>
        <w:tc>
          <w:tcPr>
            <w:tcW w:w="8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26,402</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14,696</w:t>
            </w: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33,535</w:t>
            </w:r>
          </w:p>
        </w:tc>
        <w:tc>
          <w:tcPr>
            <w:tcW w:w="14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30,015</w:t>
            </w: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32,799</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32,443</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50,667</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48,055</w:t>
            </w: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Lapa mine</w:t>
            </w:r>
          </w:p>
        </w:tc>
        <w:tc>
          <w:tcPr>
            <w:tcW w:w="80" w:type="dxa"/>
            <w:vAlign w:val="bottom"/>
          </w:tcPr>
          <w:p>
            <w:pPr>
              <w:spacing w:after="0"/>
              <w:rPr>
                <w:sz w:val="12"/>
                <w:szCs w:val="12"/>
                <w:color w:val="auto"/>
              </w:rPr>
            </w:pPr>
          </w:p>
        </w:tc>
        <w:tc>
          <w:tcPr>
            <w:tcW w:w="76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9,050</w:t>
            </w:r>
          </w:p>
        </w:tc>
        <w:tc>
          <w:tcPr>
            <w:tcW w:w="80" w:type="dxa"/>
            <w:vAlign w:val="bottom"/>
          </w:tcPr>
          <w:p>
            <w:pPr>
              <w:spacing w:after="0"/>
              <w:rPr>
                <w:sz w:val="12"/>
                <w:szCs w:val="12"/>
                <w:color w:val="auto"/>
              </w:rPr>
            </w:pPr>
          </w:p>
        </w:tc>
        <w:tc>
          <w:tcPr>
            <w:tcW w:w="10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13,748</w:t>
            </w: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16,060</w:t>
            </w:r>
          </w:p>
        </w:tc>
        <w:tc>
          <w:tcPr>
            <w:tcW w:w="140" w:type="dxa"/>
            <w:vAlign w:val="bottom"/>
          </w:tcPr>
          <w:p>
            <w:pPr>
              <w:spacing w:after="0"/>
              <w:rPr>
                <w:sz w:val="12"/>
                <w:szCs w:val="12"/>
                <w:color w:val="auto"/>
              </w:rPr>
            </w:pPr>
          </w:p>
        </w:tc>
        <w:tc>
          <w:tcPr>
            <w:tcW w:w="7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14,687</w:t>
            </w:r>
          </w:p>
        </w:tc>
        <w:tc>
          <w:tcPr>
            <w:tcW w:w="100" w:type="dxa"/>
            <w:vAlign w:val="bottom"/>
          </w:tcPr>
          <w:p>
            <w:pPr>
              <w:spacing w:after="0"/>
              <w:rPr>
                <w:sz w:val="12"/>
                <w:szCs w:val="12"/>
                <w:color w:val="auto"/>
              </w:rPr>
            </w:pPr>
          </w:p>
        </w:tc>
        <w:tc>
          <w:tcPr>
            <w:tcW w:w="7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11,351</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13,813</w:t>
            </w:r>
          </w:p>
        </w:tc>
        <w:tc>
          <w:tcPr>
            <w:tcW w:w="80" w:type="dxa"/>
            <w:vAlign w:val="bottom"/>
          </w:tcPr>
          <w:p>
            <w:pPr>
              <w:spacing w:after="0"/>
              <w:rPr>
                <w:sz w:val="12"/>
                <w:szCs w:val="12"/>
                <w:color w:val="auto"/>
              </w:rPr>
            </w:pP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12,363</w:t>
            </w:r>
          </w:p>
        </w:tc>
        <w:tc>
          <w:tcPr>
            <w:tcW w:w="160" w:type="dxa"/>
            <w:vAlign w:val="bottom"/>
          </w:tcPr>
          <w:p>
            <w:pPr>
              <w:spacing w:after="0"/>
              <w:rPr>
                <w:sz w:val="12"/>
                <w:szCs w:val="12"/>
                <w:color w:val="auto"/>
              </w:rPr>
            </w:pPr>
          </w:p>
        </w:tc>
        <w:tc>
          <w:tcPr>
            <w:tcW w:w="7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10,806</w:t>
            </w: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Goldex mine</w:t>
            </w:r>
          </w:p>
        </w:tc>
        <w:tc>
          <w:tcPr>
            <w:tcW w:w="8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13,283</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17,237</w:t>
            </w:r>
          </w:p>
        </w:tc>
        <w:tc>
          <w:tcPr>
            <w:tcW w:w="8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20,693</w:t>
            </w:r>
          </w:p>
        </w:tc>
        <w:tc>
          <w:tcPr>
            <w:tcW w:w="14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19,253</w:t>
            </w:r>
          </w:p>
        </w:tc>
        <w:tc>
          <w:tcPr>
            <w:tcW w:w="10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15,525</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20,681</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17,108</w:t>
            </w:r>
          </w:p>
        </w:tc>
        <w:tc>
          <w:tcPr>
            <w:tcW w:w="16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22,184</w:t>
            </w: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Meadowbank mine</w:t>
            </w:r>
          </w:p>
        </w:tc>
        <w:tc>
          <w:tcPr>
            <w:tcW w:w="80" w:type="dxa"/>
            <w:vAlign w:val="bottom"/>
          </w:tcPr>
          <w:p>
            <w:pPr>
              <w:spacing w:after="0"/>
              <w:rPr>
                <w:sz w:val="12"/>
                <w:szCs w:val="12"/>
                <w:color w:val="auto"/>
              </w:rPr>
            </w:pPr>
          </w:p>
        </w:tc>
        <w:tc>
          <w:tcPr>
            <w:tcW w:w="76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88,728</w:t>
            </w:r>
          </w:p>
        </w:tc>
        <w:tc>
          <w:tcPr>
            <w:tcW w:w="80" w:type="dxa"/>
            <w:vAlign w:val="bottom"/>
          </w:tcPr>
          <w:p>
            <w:pPr>
              <w:spacing w:after="0"/>
              <w:rPr>
                <w:sz w:val="12"/>
                <w:szCs w:val="12"/>
                <w:color w:val="auto"/>
              </w:rPr>
            </w:pPr>
          </w:p>
        </w:tc>
        <w:tc>
          <w:tcPr>
            <w:tcW w:w="10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52,504</w:t>
            </w: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39,839</w:t>
            </w:r>
          </w:p>
        </w:tc>
        <w:tc>
          <w:tcPr>
            <w:tcW w:w="140" w:type="dxa"/>
            <w:vAlign w:val="bottom"/>
          </w:tcPr>
          <w:p>
            <w:pPr>
              <w:spacing w:after="0"/>
              <w:rPr>
                <w:sz w:val="12"/>
                <w:szCs w:val="12"/>
                <w:color w:val="auto"/>
              </w:rPr>
            </w:pPr>
          </w:p>
        </w:tc>
        <w:tc>
          <w:tcPr>
            <w:tcW w:w="7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46,577</w:t>
            </w:r>
          </w:p>
        </w:tc>
        <w:tc>
          <w:tcPr>
            <w:tcW w:w="100" w:type="dxa"/>
            <w:vAlign w:val="bottom"/>
          </w:tcPr>
          <w:p>
            <w:pPr>
              <w:spacing w:after="0"/>
              <w:rPr>
                <w:sz w:val="12"/>
                <w:szCs w:val="12"/>
                <w:color w:val="auto"/>
              </w:rPr>
            </w:pPr>
          </w:p>
        </w:tc>
        <w:tc>
          <w:tcPr>
            <w:tcW w:w="7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49,600</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55,493</w:t>
            </w:r>
          </w:p>
        </w:tc>
        <w:tc>
          <w:tcPr>
            <w:tcW w:w="80" w:type="dxa"/>
            <w:vAlign w:val="bottom"/>
          </w:tcPr>
          <w:p>
            <w:pPr>
              <w:spacing w:after="0"/>
              <w:rPr>
                <w:sz w:val="12"/>
                <w:szCs w:val="12"/>
                <w:color w:val="auto"/>
              </w:rPr>
            </w:pP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64,664</w:t>
            </w:r>
          </w:p>
        </w:tc>
        <w:tc>
          <w:tcPr>
            <w:tcW w:w="160" w:type="dxa"/>
            <w:vAlign w:val="bottom"/>
          </w:tcPr>
          <w:p>
            <w:pPr>
              <w:spacing w:after="0"/>
              <w:rPr>
                <w:sz w:val="12"/>
                <w:szCs w:val="12"/>
                <w:color w:val="auto"/>
              </w:rPr>
            </w:pPr>
          </w:p>
        </w:tc>
        <w:tc>
          <w:tcPr>
            <w:tcW w:w="7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33,329</w:t>
            </w:r>
          </w:p>
        </w:tc>
        <w:tc>
          <w:tcPr>
            <w:tcW w:w="0" w:type="dxa"/>
            <w:vAlign w:val="bottom"/>
          </w:tcPr>
          <w:p>
            <w:pPr>
              <w:spacing w:after="0"/>
              <w:rPr>
                <w:sz w:val="1"/>
                <w:szCs w:val="1"/>
                <w:color w:val="auto"/>
              </w:rPr>
            </w:pPr>
          </w:p>
        </w:tc>
      </w:tr>
      <w:tr>
        <w:trPr>
          <w:trHeight w:val="131"/>
        </w:trPr>
        <w:tc>
          <w:tcPr>
            <w:tcW w:w="1440" w:type="dxa"/>
            <w:vAlign w:val="bottom"/>
            <w:gridSpan w:val="2"/>
            <w:shd w:val="clear" w:color="auto" w:fill="CCEEFF"/>
          </w:tcPr>
          <w:p>
            <w:pPr>
              <w:ind w:left="140"/>
              <w:spacing w:after="0" w:line="131" w:lineRule="exact"/>
              <w:rPr>
                <w:sz w:val="20"/>
                <w:szCs w:val="20"/>
                <w:color w:val="auto"/>
              </w:rPr>
            </w:pPr>
            <w:r>
              <w:rPr>
                <w:rFonts w:ascii="Arial" w:cs="Arial" w:eastAsia="Arial" w:hAnsi="Arial"/>
                <w:sz w:val="13"/>
                <w:szCs w:val="13"/>
                <w:color w:val="auto"/>
              </w:rPr>
              <w:t>Canadian Malartic</w:t>
            </w: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1440" w:type="dxa"/>
            <w:vAlign w:val="bottom"/>
            <w:gridSpan w:val="2"/>
            <w:shd w:val="clear" w:color="auto" w:fill="CCEEFF"/>
          </w:tcPr>
          <w:p>
            <w:pPr>
              <w:ind w:left="280"/>
              <w:spacing w:after="0" w:line="184" w:lineRule="exact"/>
              <w:rPr>
                <w:sz w:val="20"/>
                <w:szCs w:val="20"/>
                <w:color w:val="auto"/>
              </w:rPr>
            </w:pPr>
            <w:r>
              <w:rPr>
                <w:rFonts w:ascii="Arial" w:cs="Arial" w:eastAsia="Arial" w:hAnsi="Arial"/>
                <w:sz w:val="13"/>
                <w:szCs w:val="13"/>
                <w:color w:val="auto"/>
              </w:rPr>
              <w:t>mine</w:t>
            </w:r>
            <w:r>
              <w:rPr>
                <w:rFonts w:ascii="Arial" w:cs="Arial" w:eastAsia="Arial" w:hAnsi="Arial"/>
                <w:sz w:val="21"/>
                <w:szCs w:val="21"/>
                <w:color w:val="auto"/>
                <w:vertAlign w:val="superscript"/>
              </w:rPr>
              <w:t>(ii)</w:t>
            </w:r>
          </w:p>
        </w:tc>
        <w:tc>
          <w:tcPr>
            <w:tcW w:w="80" w:type="dxa"/>
            <w:vAlign w:val="bottom"/>
            <w:shd w:val="clear" w:color="auto" w:fill="CCEEFF"/>
          </w:tcPr>
          <w:p>
            <w:pPr>
              <w:spacing w:after="0"/>
              <w:rPr>
                <w:sz w:val="15"/>
                <w:szCs w:val="15"/>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3,668</w:t>
            </w:r>
          </w:p>
        </w:tc>
        <w:tc>
          <w:tcPr>
            <w:tcW w:w="80" w:type="dxa"/>
            <w:vAlign w:val="bottom"/>
            <w:shd w:val="clear" w:color="auto" w:fill="CCEEFF"/>
          </w:tcPr>
          <w:p>
            <w:pPr>
              <w:spacing w:after="0"/>
              <w:rPr>
                <w:sz w:val="15"/>
                <w:szCs w:val="15"/>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33,224</w:t>
            </w:r>
          </w:p>
        </w:tc>
        <w:tc>
          <w:tcPr>
            <w:tcW w:w="80" w:type="dxa"/>
            <w:vAlign w:val="bottom"/>
            <w:shd w:val="clear" w:color="auto" w:fill="CCEEFF"/>
          </w:tcPr>
          <w:p>
            <w:pPr>
              <w:spacing w:after="0"/>
              <w:rPr>
                <w:sz w:val="15"/>
                <w:szCs w:val="15"/>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39,092</w:t>
            </w:r>
          </w:p>
        </w:tc>
        <w:tc>
          <w:tcPr>
            <w:tcW w:w="14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34,718</w:t>
            </w:r>
          </w:p>
        </w:tc>
        <w:tc>
          <w:tcPr>
            <w:tcW w:w="10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44,737</w:t>
            </w:r>
          </w:p>
        </w:tc>
        <w:tc>
          <w:tcPr>
            <w:tcW w:w="80" w:type="dxa"/>
            <w:vAlign w:val="bottom"/>
            <w:shd w:val="clear" w:color="auto" w:fill="CCEEFF"/>
          </w:tcPr>
          <w:p>
            <w:pPr>
              <w:spacing w:after="0"/>
              <w:rPr>
                <w:sz w:val="15"/>
                <w:szCs w:val="15"/>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44,293</w:t>
            </w:r>
          </w:p>
        </w:tc>
        <w:tc>
          <w:tcPr>
            <w:tcW w:w="80" w:type="dxa"/>
            <w:vAlign w:val="bottom"/>
            <w:shd w:val="clear" w:color="auto" w:fill="CCEEFF"/>
          </w:tcPr>
          <w:p>
            <w:pPr>
              <w:spacing w:after="0"/>
              <w:rPr>
                <w:sz w:val="15"/>
                <w:szCs w:val="15"/>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38,059</w:t>
            </w:r>
          </w:p>
        </w:tc>
        <w:tc>
          <w:tcPr>
            <w:tcW w:w="16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41,740</w:t>
            </w: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Kittila mine</w:t>
            </w:r>
          </w:p>
        </w:tc>
        <w:tc>
          <w:tcPr>
            <w:tcW w:w="80" w:type="dxa"/>
            <w:vAlign w:val="bottom"/>
          </w:tcPr>
          <w:p>
            <w:pPr>
              <w:spacing w:after="0"/>
              <w:rPr>
                <w:sz w:val="12"/>
                <w:szCs w:val="12"/>
                <w:color w:val="auto"/>
              </w:rPr>
            </w:pPr>
          </w:p>
        </w:tc>
        <w:tc>
          <w:tcPr>
            <w:tcW w:w="76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14,184</w:t>
            </w:r>
          </w:p>
        </w:tc>
        <w:tc>
          <w:tcPr>
            <w:tcW w:w="80" w:type="dxa"/>
            <w:vAlign w:val="bottom"/>
          </w:tcPr>
          <w:p>
            <w:pPr>
              <w:spacing w:after="0"/>
              <w:rPr>
                <w:sz w:val="12"/>
                <w:szCs w:val="12"/>
                <w:color w:val="auto"/>
              </w:rPr>
            </w:pPr>
          </w:p>
        </w:tc>
        <w:tc>
          <w:tcPr>
            <w:tcW w:w="10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12,128</w:t>
            </w: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14,312</w:t>
            </w:r>
          </w:p>
        </w:tc>
        <w:tc>
          <w:tcPr>
            <w:tcW w:w="140" w:type="dxa"/>
            <w:vAlign w:val="bottom"/>
          </w:tcPr>
          <w:p>
            <w:pPr>
              <w:spacing w:after="0"/>
              <w:rPr>
                <w:sz w:val="12"/>
                <w:szCs w:val="12"/>
                <w:color w:val="auto"/>
              </w:rPr>
            </w:pPr>
          </w:p>
        </w:tc>
        <w:tc>
          <w:tcPr>
            <w:tcW w:w="7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27,415</w:t>
            </w:r>
          </w:p>
        </w:tc>
        <w:tc>
          <w:tcPr>
            <w:tcW w:w="100" w:type="dxa"/>
            <w:vAlign w:val="bottom"/>
          </w:tcPr>
          <w:p>
            <w:pPr>
              <w:spacing w:after="0"/>
              <w:rPr>
                <w:sz w:val="12"/>
                <w:szCs w:val="12"/>
                <w:color w:val="auto"/>
              </w:rPr>
            </w:pPr>
          </w:p>
        </w:tc>
        <w:tc>
          <w:tcPr>
            <w:tcW w:w="7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16,145</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21,528</w:t>
            </w:r>
          </w:p>
        </w:tc>
        <w:tc>
          <w:tcPr>
            <w:tcW w:w="80" w:type="dxa"/>
            <w:vAlign w:val="bottom"/>
          </w:tcPr>
          <w:p>
            <w:pPr>
              <w:spacing w:after="0"/>
              <w:rPr>
                <w:sz w:val="12"/>
                <w:szCs w:val="12"/>
                <w:color w:val="auto"/>
              </w:rPr>
            </w:pP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15,174</w:t>
            </w:r>
          </w:p>
        </w:tc>
        <w:tc>
          <w:tcPr>
            <w:tcW w:w="160" w:type="dxa"/>
            <w:vAlign w:val="bottom"/>
          </w:tcPr>
          <w:p>
            <w:pPr>
              <w:spacing w:after="0"/>
              <w:rPr>
                <w:sz w:val="12"/>
                <w:szCs w:val="12"/>
                <w:color w:val="auto"/>
              </w:rPr>
            </w:pPr>
          </w:p>
        </w:tc>
        <w:tc>
          <w:tcPr>
            <w:tcW w:w="7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24,086</w:t>
            </w: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Southern Business</w:t>
            </w: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Pinos Altos mine</w:t>
            </w:r>
          </w:p>
        </w:tc>
        <w:tc>
          <w:tcPr>
            <w:tcW w:w="80" w:type="dxa"/>
            <w:vAlign w:val="bottom"/>
          </w:tcPr>
          <w:p>
            <w:pPr>
              <w:spacing w:after="0"/>
              <w:rPr>
                <w:sz w:val="12"/>
                <w:szCs w:val="12"/>
                <w:color w:val="auto"/>
              </w:rPr>
            </w:pPr>
          </w:p>
        </w:tc>
        <w:tc>
          <w:tcPr>
            <w:tcW w:w="76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33,417</w:t>
            </w:r>
          </w:p>
        </w:tc>
        <w:tc>
          <w:tcPr>
            <w:tcW w:w="80" w:type="dxa"/>
            <w:vAlign w:val="bottom"/>
          </w:tcPr>
          <w:p>
            <w:pPr>
              <w:spacing w:after="0"/>
              <w:rPr>
                <w:sz w:val="12"/>
                <w:szCs w:val="12"/>
                <w:color w:val="auto"/>
              </w:rPr>
            </w:pPr>
          </w:p>
        </w:tc>
        <w:tc>
          <w:tcPr>
            <w:tcW w:w="10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28,837</w:t>
            </w:r>
          </w:p>
        </w:tc>
        <w:tc>
          <w:tcPr>
            <w:tcW w:w="8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27,123</w:t>
            </w:r>
          </w:p>
        </w:tc>
        <w:tc>
          <w:tcPr>
            <w:tcW w:w="140" w:type="dxa"/>
            <w:vAlign w:val="bottom"/>
          </w:tcPr>
          <w:p>
            <w:pPr>
              <w:spacing w:after="0"/>
              <w:rPr>
                <w:sz w:val="12"/>
                <w:szCs w:val="12"/>
                <w:color w:val="auto"/>
              </w:rPr>
            </w:pPr>
          </w:p>
        </w:tc>
        <w:tc>
          <w:tcPr>
            <w:tcW w:w="7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34,652</w:t>
            </w:r>
          </w:p>
        </w:tc>
        <w:tc>
          <w:tcPr>
            <w:tcW w:w="100" w:type="dxa"/>
            <w:vAlign w:val="bottom"/>
          </w:tcPr>
          <w:p>
            <w:pPr>
              <w:spacing w:after="0"/>
              <w:rPr>
                <w:sz w:val="12"/>
                <w:szCs w:val="12"/>
                <w:color w:val="auto"/>
              </w:rPr>
            </w:pPr>
          </w:p>
        </w:tc>
        <w:tc>
          <w:tcPr>
            <w:tcW w:w="7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44,538</w:t>
            </w:r>
          </w:p>
        </w:tc>
        <w:tc>
          <w:tcPr>
            <w:tcW w:w="80" w:type="dxa"/>
            <w:vAlign w:val="bottom"/>
          </w:tcPr>
          <w:p>
            <w:pPr>
              <w:spacing w:after="0"/>
              <w:rPr>
                <w:sz w:val="12"/>
                <w:szCs w:val="12"/>
                <w:color w:val="auto"/>
              </w:rPr>
            </w:pPr>
          </w:p>
        </w:tc>
        <w:tc>
          <w:tcPr>
            <w:tcW w:w="10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37,217</w:t>
            </w:r>
          </w:p>
        </w:tc>
        <w:tc>
          <w:tcPr>
            <w:tcW w:w="80" w:type="dxa"/>
            <w:vAlign w:val="bottom"/>
          </w:tcPr>
          <w:p>
            <w:pPr>
              <w:spacing w:after="0"/>
              <w:rPr>
                <w:sz w:val="12"/>
                <w:szCs w:val="12"/>
                <w:color w:val="auto"/>
              </w:rPr>
            </w:pP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29,327</w:t>
            </w:r>
          </w:p>
        </w:tc>
        <w:tc>
          <w:tcPr>
            <w:tcW w:w="160" w:type="dxa"/>
            <w:vAlign w:val="bottom"/>
          </w:tcPr>
          <w:p>
            <w:pPr>
              <w:spacing w:after="0"/>
              <w:rPr>
                <w:sz w:val="12"/>
                <w:szCs w:val="12"/>
                <w:color w:val="auto"/>
              </w:rPr>
            </w:pPr>
          </w:p>
        </w:tc>
        <w:tc>
          <w:tcPr>
            <w:tcW w:w="72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35,820</w:t>
            </w:r>
          </w:p>
        </w:tc>
        <w:tc>
          <w:tcPr>
            <w:tcW w:w="0" w:type="dxa"/>
            <w:vAlign w:val="bottom"/>
          </w:tcPr>
          <w:p>
            <w:pPr>
              <w:spacing w:after="0"/>
              <w:rPr>
                <w:sz w:val="1"/>
                <w:szCs w:val="1"/>
                <w:color w:val="auto"/>
              </w:rPr>
            </w:pPr>
          </w:p>
        </w:tc>
      </w:tr>
      <w:tr>
        <w:trPr>
          <w:trHeight w:val="135"/>
        </w:trPr>
        <w:tc>
          <w:tcPr>
            <w:tcW w:w="1440" w:type="dxa"/>
            <w:vAlign w:val="bottom"/>
            <w:gridSpan w:val="2"/>
            <w:shd w:val="clear" w:color="auto" w:fill="CCEEFF"/>
          </w:tcPr>
          <w:p>
            <w:pPr>
              <w:ind w:left="140"/>
              <w:spacing w:after="0" w:line="136" w:lineRule="exact"/>
              <w:rPr>
                <w:sz w:val="20"/>
                <w:szCs w:val="20"/>
                <w:color w:val="auto"/>
              </w:rPr>
            </w:pPr>
            <w:r>
              <w:rPr>
                <w:rFonts w:ascii="Arial" w:cs="Arial" w:eastAsia="Arial" w:hAnsi="Arial"/>
                <w:sz w:val="13"/>
                <w:szCs w:val="13"/>
                <w:color w:val="auto"/>
              </w:rPr>
              <w:t>Creston Mascota</w:t>
            </w: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ind w:left="280"/>
              <w:spacing w:after="0" w:line="144" w:lineRule="exact"/>
              <w:rPr>
                <w:sz w:val="20"/>
                <w:szCs w:val="20"/>
                <w:color w:val="auto"/>
              </w:rPr>
            </w:pPr>
            <w:r>
              <w:rPr>
                <w:rFonts w:ascii="Arial" w:cs="Arial" w:eastAsia="Arial" w:hAnsi="Arial"/>
                <w:sz w:val="13"/>
                <w:szCs w:val="13"/>
                <w:color w:val="auto"/>
              </w:rPr>
              <w:t>deposit at Pinos</w:t>
            </w: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440" w:type="dxa"/>
            <w:vAlign w:val="bottom"/>
            <w:gridSpan w:val="2"/>
            <w:shd w:val="clear" w:color="auto" w:fill="CCEEFF"/>
          </w:tcPr>
          <w:p>
            <w:pPr>
              <w:ind w:left="280"/>
              <w:spacing w:after="0"/>
              <w:rPr>
                <w:sz w:val="20"/>
                <w:szCs w:val="20"/>
                <w:color w:val="auto"/>
              </w:rPr>
            </w:pPr>
            <w:r>
              <w:rPr>
                <w:rFonts w:ascii="Arial" w:cs="Arial" w:eastAsia="Arial" w:hAnsi="Arial"/>
                <w:sz w:val="13"/>
                <w:szCs w:val="13"/>
                <w:color w:val="auto"/>
              </w:rPr>
              <w:t>Altos</w:t>
            </w:r>
          </w:p>
        </w:tc>
        <w:tc>
          <w:tcPr>
            <w:tcW w:w="8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7,428</w:t>
            </w:r>
          </w:p>
        </w:tc>
        <w:tc>
          <w:tcPr>
            <w:tcW w:w="80" w:type="dxa"/>
            <w:vAlign w:val="bottom"/>
            <w:shd w:val="clear" w:color="auto" w:fill="CCEEFF"/>
          </w:tcPr>
          <w:p>
            <w:pPr>
              <w:spacing w:after="0"/>
              <w:rPr>
                <w:sz w:val="13"/>
                <w:szCs w:val="13"/>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8,032</w:t>
            </w:r>
          </w:p>
        </w:tc>
        <w:tc>
          <w:tcPr>
            <w:tcW w:w="80" w:type="dxa"/>
            <w:vAlign w:val="bottom"/>
            <w:shd w:val="clear" w:color="auto" w:fill="CCEEFF"/>
          </w:tcPr>
          <w:p>
            <w:pPr>
              <w:spacing w:after="0"/>
              <w:rPr>
                <w:sz w:val="13"/>
                <w:szCs w:val="13"/>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8,392</w:t>
            </w:r>
          </w:p>
        </w:tc>
        <w:tc>
          <w:tcPr>
            <w:tcW w:w="14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8,409</w:t>
            </w:r>
          </w:p>
        </w:tc>
        <w:tc>
          <w:tcPr>
            <w:tcW w:w="10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12,968</w:t>
            </w:r>
          </w:p>
        </w:tc>
        <w:tc>
          <w:tcPr>
            <w:tcW w:w="8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8,898</w:t>
            </w:r>
          </w:p>
        </w:tc>
        <w:tc>
          <w:tcPr>
            <w:tcW w:w="80" w:type="dxa"/>
            <w:vAlign w:val="bottom"/>
            <w:shd w:val="clear" w:color="auto" w:fill="CCEEFF"/>
          </w:tcPr>
          <w:p>
            <w:pPr>
              <w:spacing w:after="0"/>
              <w:rPr>
                <w:sz w:val="13"/>
                <w:szCs w:val="13"/>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9,919</w:t>
            </w:r>
          </w:p>
        </w:tc>
        <w:tc>
          <w:tcPr>
            <w:tcW w:w="1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8,989</w:t>
            </w:r>
          </w:p>
        </w:tc>
        <w:tc>
          <w:tcPr>
            <w:tcW w:w="0" w:type="dxa"/>
            <w:vAlign w:val="bottom"/>
          </w:tcPr>
          <w:p>
            <w:pPr>
              <w:spacing w:after="0"/>
              <w:rPr>
                <w:sz w:val="1"/>
                <w:szCs w:val="1"/>
                <w:color w:val="auto"/>
              </w:rPr>
            </w:pPr>
          </w:p>
        </w:tc>
      </w:tr>
      <w:tr>
        <w:trPr>
          <w:trHeight w:val="168"/>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La India mine</w:t>
            </w:r>
          </w:p>
        </w:tc>
        <w:tc>
          <w:tcPr>
            <w:tcW w:w="80" w:type="dxa"/>
            <w:vAlign w:val="bottom"/>
          </w:tcPr>
          <w:p>
            <w:pPr>
              <w:spacing w:after="0"/>
              <w:rPr>
                <w:sz w:val="14"/>
                <w:szCs w:val="14"/>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3"/>
                <w:szCs w:val="13"/>
                <w:color w:val="auto"/>
              </w:rPr>
              <w:t>12,978</w:t>
            </w:r>
          </w:p>
        </w:tc>
        <w:tc>
          <w:tcPr>
            <w:tcW w:w="80" w:type="dxa"/>
            <w:vAlign w:val="bottom"/>
          </w:tcPr>
          <w:p>
            <w:pPr>
              <w:spacing w:after="0"/>
              <w:rPr>
                <w:sz w:val="14"/>
                <w:szCs w:val="14"/>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13,189</w:t>
            </w:r>
          </w:p>
        </w:tc>
        <w:tc>
          <w:tcPr>
            <w:tcW w:w="80" w:type="dxa"/>
            <w:vAlign w:val="bottom"/>
          </w:tcPr>
          <w:p>
            <w:pPr>
              <w:spacing w:after="0"/>
              <w:rPr>
                <w:sz w:val="14"/>
                <w:szCs w:val="14"/>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16,727</w:t>
            </w:r>
          </w:p>
        </w:tc>
        <w:tc>
          <w:tcPr>
            <w:tcW w:w="140" w:type="dxa"/>
            <w:vAlign w:val="bottom"/>
          </w:tcPr>
          <w:p>
            <w:pPr>
              <w:spacing w:after="0"/>
              <w:rPr>
                <w:sz w:val="14"/>
                <w:szCs w:val="14"/>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20,590</w:t>
            </w:r>
          </w:p>
        </w:tc>
        <w:tc>
          <w:tcPr>
            <w:tcW w:w="100" w:type="dxa"/>
            <w:vAlign w:val="bottom"/>
          </w:tcPr>
          <w:p>
            <w:pPr>
              <w:spacing w:after="0"/>
              <w:rPr>
                <w:sz w:val="14"/>
                <w:szCs w:val="14"/>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18,834</w:t>
            </w:r>
          </w:p>
        </w:tc>
        <w:tc>
          <w:tcPr>
            <w:tcW w:w="80" w:type="dxa"/>
            <w:vAlign w:val="bottom"/>
          </w:tcPr>
          <w:p>
            <w:pPr>
              <w:spacing w:after="0"/>
              <w:rPr>
                <w:sz w:val="14"/>
                <w:szCs w:val="14"/>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19,845</w:t>
            </w:r>
          </w:p>
        </w:tc>
        <w:tc>
          <w:tcPr>
            <w:tcW w:w="80" w:type="dxa"/>
            <w:vAlign w:val="bottom"/>
          </w:tcPr>
          <w:p>
            <w:pPr>
              <w:spacing w:after="0"/>
              <w:rPr>
                <w:sz w:val="14"/>
                <w:szCs w:val="14"/>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3"/>
                <w:szCs w:val="13"/>
                <w:color w:val="auto"/>
              </w:rPr>
              <w:t>15,832</w:t>
            </w:r>
          </w:p>
        </w:tc>
        <w:tc>
          <w:tcPr>
            <w:tcW w:w="160" w:type="dxa"/>
            <w:vAlign w:val="bottom"/>
          </w:tcPr>
          <w:p>
            <w:pPr>
              <w:spacing w:after="0"/>
              <w:rPr>
                <w:sz w:val="14"/>
                <w:szCs w:val="14"/>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21,549</w:t>
            </w:r>
          </w:p>
        </w:tc>
        <w:tc>
          <w:tcPr>
            <w:tcW w:w="0" w:type="dxa"/>
            <w:vAlign w:val="bottom"/>
          </w:tcPr>
          <w:p>
            <w:pPr>
              <w:spacing w:after="0"/>
              <w:rPr>
                <w:sz w:val="1"/>
                <w:szCs w:val="1"/>
                <w:color w:val="auto"/>
              </w:rPr>
            </w:pPr>
          </w:p>
        </w:tc>
      </w:tr>
      <w:tr>
        <w:trPr>
          <w:trHeight w:val="127"/>
        </w:trPr>
        <w:tc>
          <w:tcPr>
            <w:tcW w:w="1440" w:type="dxa"/>
            <w:vAlign w:val="bottom"/>
            <w:gridSpan w:val="2"/>
            <w:shd w:val="clear" w:color="auto" w:fill="CCEEFF"/>
          </w:tcPr>
          <w:p>
            <w:pPr>
              <w:spacing w:after="0" w:line="127" w:lineRule="exact"/>
              <w:rPr>
                <w:sz w:val="20"/>
                <w:szCs w:val="20"/>
                <w:color w:val="auto"/>
              </w:rPr>
            </w:pPr>
            <w:r>
              <w:rPr>
                <w:rFonts w:ascii="Arial" w:cs="Arial" w:eastAsia="Arial" w:hAnsi="Arial"/>
                <w:sz w:val="13"/>
                <w:szCs w:val="13"/>
                <w:color w:val="auto"/>
              </w:rPr>
              <w:t>Total operating</w:t>
            </w:r>
          </w:p>
        </w:tc>
        <w:tc>
          <w:tcPr>
            <w:tcW w:w="80" w:type="dxa"/>
            <w:vAlign w:val="bottom"/>
            <w:tcBorders>
              <w:top w:val="single" w:sz="8" w:color="auto"/>
            </w:tcBorders>
            <w:shd w:val="clear" w:color="auto" w:fill="CCEEFF"/>
          </w:tcPr>
          <w:p>
            <w:pPr>
              <w:spacing w:after="0"/>
              <w:rPr>
                <w:sz w:val="11"/>
                <w:szCs w:val="11"/>
                <w:color w:val="auto"/>
              </w:rPr>
            </w:pPr>
          </w:p>
        </w:tc>
        <w:tc>
          <w:tcPr>
            <w:tcW w:w="60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8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4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4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58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1440" w:type="dxa"/>
            <w:vAlign w:val="bottom"/>
            <w:gridSpan w:val="2"/>
            <w:shd w:val="clear" w:color="auto" w:fill="CCEEFF"/>
          </w:tcPr>
          <w:p>
            <w:pPr>
              <w:ind w:left="140"/>
              <w:spacing w:after="0" w:line="184" w:lineRule="exact"/>
              <w:rPr>
                <w:sz w:val="20"/>
                <w:szCs w:val="20"/>
                <w:color w:val="auto"/>
              </w:rPr>
            </w:pPr>
            <w:r>
              <w:rPr>
                <w:rFonts w:ascii="Arial" w:cs="Arial" w:eastAsia="Arial" w:hAnsi="Arial"/>
                <w:sz w:val="13"/>
                <w:szCs w:val="13"/>
                <w:color w:val="auto"/>
              </w:rPr>
              <w:t>margin</w:t>
            </w:r>
            <w:r>
              <w:rPr>
                <w:rFonts w:ascii="Arial" w:cs="Arial" w:eastAsia="Arial" w:hAnsi="Arial"/>
                <w:sz w:val="21"/>
                <w:szCs w:val="21"/>
                <w:color w:val="auto"/>
                <w:vertAlign w:val="superscript"/>
              </w:rPr>
              <w:t>(i)</w:t>
            </w:r>
          </w:p>
        </w:tc>
        <w:tc>
          <w:tcPr>
            <w:tcW w:w="80" w:type="dxa"/>
            <w:vAlign w:val="bottom"/>
            <w:shd w:val="clear" w:color="auto" w:fill="CCEEFF"/>
          </w:tcPr>
          <w:p>
            <w:pPr>
              <w:spacing w:after="0"/>
              <w:rPr>
                <w:sz w:val="15"/>
                <w:szCs w:val="15"/>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209,138</w:t>
            </w:r>
          </w:p>
        </w:tc>
        <w:tc>
          <w:tcPr>
            <w:tcW w:w="80" w:type="dxa"/>
            <w:vAlign w:val="bottom"/>
            <w:shd w:val="clear" w:color="auto" w:fill="CCEEFF"/>
          </w:tcPr>
          <w:p>
            <w:pPr>
              <w:spacing w:after="0"/>
              <w:rPr>
                <w:sz w:val="15"/>
                <w:szCs w:val="15"/>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193,595</w:t>
            </w:r>
          </w:p>
        </w:tc>
        <w:tc>
          <w:tcPr>
            <w:tcW w:w="80" w:type="dxa"/>
            <w:vAlign w:val="bottom"/>
            <w:shd w:val="clear" w:color="auto" w:fill="CCEEFF"/>
          </w:tcPr>
          <w:p>
            <w:pPr>
              <w:spacing w:after="0"/>
              <w:rPr>
                <w:sz w:val="15"/>
                <w:szCs w:val="15"/>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215,773</w:t>
            </w:r>
          </w:p>
        </w:tc>
        <w:tc>
          <w:tcPr>
            <w:tcW w:w="14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236,316</w:t>
            </w:r>
          </w:p>
        </w:tc>
        <w:tc>
          <w:tcPr>
            <w:tcW w:w="10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246,497</w:t>
            </w:r>
          </w:p>
        </w:tc>
        <w:tc>
          <w:tcPr>
            <w:tcW w:w="80" w:type="dxa"/>
            <w:vAlign w:val="bottom"/>
            <w:shd w:val="clear" w:color="auto" w:fill="CCEEFF"/>
          </w:tcPr>
          <w:p>
            <w:pPr>
              <w:spacing w:after="0"/>
              <w:rPr>
                <w:sz w:val="15"/>
                <w:szCs w:val="15"/>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254,211</w:t>
            </w:r>
          </w:p>
        </w:tc>
        <w:tc>
          <w:tcPr>
            <w:tcW w:w="80" w:type="dxa"/>
            <w:vAlign w:val="bottom"/>
            <w:shd w:val="clear" w:color="auto" w:fill="CCEEFF"/>
          </w:tcPr>
          <w:p>
            <w:pPr>
              <w:spacing w:after="0"/>
              <w:rPr>
                <w:sz w:val="15"/>
                <w:szCs w:val="15"/>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253,113</w:t>
            </w:r>
          </w:p>
        </w:tc>
        <w:tc>
          <w:tcPr>
            <w:tcW w:w="16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246,558</w:t>
            </w:r>
          </w:p>
        </w:tc>
        <w:tc>
          <w:tcPr>
            <w:tcW w:w="0" w:type="dxa"/>
            <w:vAlign w:val="bottom"/>
          </w:tcPr>
          <w:p>
            <w:pPr>
              <w:spacing w:after="0"/>
              <w:rPr>
                <w:sz w:val="1"/>
                <w:szCs w:val="1"/>
                <w:color w:val="auto"/>
              </w:rPr>
            </w:pPr>
          </w:p>
        </w:tc>
      </w:tr>
      <w:tr>
        <w:trPr>
          <w:trHeight w:val="135"/>
        </w:trPr>
        <w:tc>
          <w:tcPr>
            <w:tcW w:w="1440" w:type="dxa"/>
            <w:vAlign w:val="bottom"/>
            <w:gridSpan w:val="2"/>
          </w:tcPr>
          <w:p>
            <w:pPr>
              <w:spacing w:after="0" w:line="136" w:lineRule="exact"/>
              <w:rPr>
                <w:sz w:val="20"/>
                <w:szCs w:val="20"/>
                <w:color w:val="auto"/>
              </w:rPr>
            </w:pPr>
            <w:r>
              <w:rPr>
                <w:rFonts w:ascii="Arial" w:cs="Arial" w:eastAsia="Arial" w:hAnsi="Arial"/>
                <w:sz w:val="13"/>
                <w:szCs w:val="13"/>
                <w:color w:val="auto"/>
              </w:rPr>
              <w:t>Amortization of</w:t>
            </w: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property, plant and</w:t>
            </w: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mine development</w:t>
            </w:r>
          </w:p>
        </w:tc>
        <w:tc>
          <w:tcPr>
            <w:tcW w:w="80" w:type="dxa"/>
            <w:vAlign w:val="bottom"/>
          </w:tcPr>
          <w:p>
            <w:pPr>
              <w:spacing w:after="0"/>
              <w:rPr>
                <w:sz w:val="13"/>
                <w:szCs w:val="13"/>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3"/>
                <w:szCs w:val="13"/>
                <w:color w:val="auto"/>
              </w:rPr>
              <w:t>93,656</w:t>
            </w:r>
          </w:p>
        </w:tc>
        <w:tc>
          <w:tcPr>
            <w:tcW w:w="80" w:type="dxa"/>
            <w:vAlign w:val="bottom"/>
          </w:tcPr>
          <w:p>
            <w:pPr>
              <w:spacing w:after="0"/>
              <w:rPr>
                <w:sz w:val="13"/>
                <w:szCs w:val="13"/>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117,396</w:t>
            </w:r>
          </w:p>
        </w:tc>
        <w:tc>
          <w:tcPr>
            <w:tcW w:w="80" w:type="dxa"/>
            <w:vAlign w:val="bottom"/>
          </w:tcPr>
          <w:p>
            <w:pPr>
              <w:spacing w:after="0"/>
              <w:rPr>
                <w:sz w:val="13"/>
                <w:szCs w:val="13"/>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139,095</w:t>
            </w:r>
          </w:p>
        </w:tc>
        <w:tc>
          <w:tcPr>
            <w:tcW w:w="140" w:type="dxa"/>
            <w:vAlign w:val="bottom"/>
          </w:tcPr>
          <w:p>
            <w:pPr>
              <w:spacing w:after="0"/>
              <w:rPr>
                <w:sz w:val="13"/>
                <w:szCs w:val="13"/>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135,897</w:t>
            </w:r>
          </w:p>
        </w:tc>
        <w:tc>
          <w:tcPr>
            <w:tcW w:w="100" w:type="dxa"/>
            <w:vAlign w:val="bottom"/>
          </w:tcPr>
          <w:p>
            <w:pPr>
              <w:spacing w:after="0"/>
              <w:rPr>
                <w:sz w:val="13"/>
                <w:szCs w:val="13"/>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157,615</w:t>
            </w:r>
          </w:p>
        </w:tc>
        <w:tc>
          <w:tcPr>
            <w:tcW w:w="80" w:type="dxa"/>
            <w:vAlign w:val="bottom"/>
          </w:tcPr>
          <w:p>
            <w:pPr>
              <w:spacing w:after="0"/>
              <w:rPr>
                <w:sz w:val="13"/>
                <w:szCs w:val="13"/>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157,968</w:t>
            </w:r>
          </w:p>
        </w:tc>
        <w:tc>
          <w:tcPr>
            <w:tcW w:w="80" w:type="dxa"/>
            <w:vAlign w:val="bottom"/>
          </w:tcPr>
          <w:p>
            <w:pPr>
              <w:spacing w:after="0"/>
              <w:rPr>
                <w:sz w:val="13"/>
                <w:szCs w:val="13"/>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3"/>
                <w:szCs w:val="13"/>
                <w:color w:val="auto"/>
              </w:rPr>
              <w:t>157,129</w:t>
            </w:r>
          </w:p>
        </w:tc>
        <w:tc>
          <w:tcPr>
            <w:tcW w:w="160" w:type="dxa"/>
            <w:vAlign w:val="bottom"/>
          </w:tcPr>
          <w:p>
            <w:pPr>
              <w:spacing w:after="0"/>
              <w:rPr>
                <w:sz w:val="13"/>
                <w:szCs w:val="13"/>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145,631</w:t>
            </w:r>
          </w:p>
        </w:tc>
        <w:tc>
          <w:tcPr>
            <w:tcW w:w="0" w:type="dxa"/>
            <w:vAlign w:val="bottom"/>
          </w:tcPr>
          <w:p>
            <w:pPr>
              <w:spacing w:after="0"/>
              <w:rPr>
                <w:sz w:val="1"/>
                <w:szCs w:val="1"/>
                <w:color w:val="auto"/>
              </w:rPr>
            </w:pPr>
          </w:p>
        </w:tc>
      </w:tr>
      <w:tr>
        <w:trPr>
          <w:trHeight w:val="135"/>
        </w:trPr>
        <w:tc>
          <w:tcPr>
            <w:tcW w:w="144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Exploration, corporate</w:t>
            </w: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440" w:type="dxa"/>
            <w:vAlign w:val="bottom"/>
            <w:gridSpan w:val="2"/>
            <w:shd w:val="clear" w:color="auto" w:fill="CCEEFF"/>
          </w:tcPr>
          <w:p>
            <w:pPr>
              <w:ind w:left="140"/>
              <w:spacing w:after="0"/>
              <w:rPr>
                <w:sz w:val="20"/>
                <w:szCs w:val="20"/>
                <w:color w:val="auto"/>
              </w:rPr>
            </w:pPr>
            <w:r>
              <w:rPr>
                <w:rFonts w:ascii="Arial" w:cs="Arial" w:eastAsia="Arial" w:hAnsi="Arial"/>
                <w:sz w:val="13"/>
                <w:szCs w:val="13"/>
                <w:color w:val="auto"/>
              </w:rPr>
              <w:t>and other</w:t>
            </w:r>
          </w:p>
        </w:tc>
        <w:tc>
          <w:tcPr>
            <w:tcW w:w="8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81,665</w:t>
            </w:r>
          </w:p>
        </w:tc>
        <w:tc>
          <w:tcPr>
            <w:tcW w:w="80" w:type="dxa"/>
            <w:vAlign w:val="bottom"/>
            <w:shd w:val="clear" w:color="auto" w:fill="CCEEFF"/>
          </w:tcPr>
          <w:p>
            <w:pPr>
              <w:spacing w:after="0"/>
              <w:rPr>
                <w:sz w:val="13"/>
                <w:szCs w:val="13"/>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69,884</w:t>
            </w:r>
          </w:p>
        </w:tc>
        <w:tc>
          <w:tcPr>
            <w:tcW w:w="80" w:type="dxa"/>
            <w:vAlign w:val="bottom"/>
            <w:shd w:val="clear" w:color="auto" w:fill="CCEEFF"/>
          </w:tcPr>
          <w:p>
            <w:pPr>
              <w:spacing w:after="0"/>
              <w:rPr>
                <w:sz w:val="13"/>
                <w:szCs w:val="13"/>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74,390</w:t>
            </w:r>
          </w:p>
        </w:tc>
        <w:tc>
          <w:tcPr>
            <w:tcW w:w="14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43,706</w:t>
            </w:r>
          </w:p>
        </w:tc>
        <w:tc>
          <w:tcPr>
            <w:tcW w:w="10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67,973</w:t>
            </w:r>
          </w:p>
        </w:tc>
        <w:tc>
          <w:tcPr>
            <w:tcW w:w="8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110,258</w:t>
            </w:r>
          </w:p>
        </w:tc>
        <w:tc>
          <w:tcPr>
            <w:tcW w:w="80" w:type="dxa"/>
            <w:vAlign w:val="bottom"/>
            <w:shd w:val="clear" w:color="auto" w:fill="CCEEFF"/>
          </w:tcPr>
          <w:p>
            <w:pPr>
              <w:spacing w:after="0"/>
              <w:rPr>
                <w:sz w:val="13"/>
                <w:szCs w:val="13"/>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76,963</w:t>
            </w:r>
          </w:p>
        </w:tc>
        <w:tc>
          <w:tcPr>
            <w:tcW w:w="1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73,730</w:t>
            </w:r>
          </w:p>
        </w:tc>
        <w:tc>
          <w:tcPr>
            <w:tcW w:w="0" w:type="dxa"/>
            <w:vAlign w:val="bottom"/>
          </w:tcPr>
          <w:p>
            <w:pPr>
              <w:spacing w:after="0"/>
              <w:rPr>
                <w:sz w:val="1"/>
                <w:szCs w:val="1"/>
                <w:color w:val="auto"/>
              </w:rPr>
            </w:pPr>
          </w:p>
        </w:tc>
      </w:tr>
      <w:tr>
        <w:trPr>
          <w:trHeight w:val="26"/>
        </w:trPr>
        <w:tc>
          <w:tcPr>
            <w:tcW w:w="1440" w:type="dxa"/>
            <w:vAlign w:val="bottom"/>
            <w:gridSpan w:val="2"/>
            <w:vMerge w:val="restart"/>
          </w:tcPr>
          <w:p>
            <w:pPr>
              <w:spacing w:after="0"/>
              <w:rPr>
                <w:sz w:val="20"/>
                <w:szCs w:val="20"/>
                <w:color w:val="auto"/>
              </w:rPr>
            </w:pPr>
            <w:r>
              <w:rPr>
                <w:rFonts w:ascii="Arial" w:cs="Arial" w:eastAsia="Arial" w:hAnsi="Arial"/>
                <w:sz w:val="13"/>
                <w:szCs w:val="13"/>
                <w:color w:val="auto"/>
              </w:rPr>
              <w:t>Income (loss) before</w:t>
            </w: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8"/>
        </w:trPr>
        <w:tc>
          <w:tcPr>
            <w:tcW w:w="144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income and mining</w:t>
            </w: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taxes</w:t>
            </w:r>
          </w:p>
        </w:tc>
        <w:tc>
          <w:tcPr>
            <w:tcW w:w="80" w:type="dxa"/>
            <w:vAlign w:val="bottom"/>
          </w:tcPr>
          <w:p>
            <w:pPr>
              <w:spacing w:after="0"/>
              <w:rPr>
                <w:sz w:val="13"/>
                <w:szCs w:val="13"/>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3"/>
                <w:szCs w:val="13"/>
                <w:color w:val="auto"/>
              </w:rPr>
              <w:t>33,817</w:t>
            </w:r>
          </w:p>
        </w:tc>
        <w:tc>
          <w:tcPr>
            <w:tcW w:w="80" w:type="dxa"/>
            <w:vAlign w:val="bottom"/>
          </w:tcPr>
          <w:p>
            <w:pPr>
              <w:spacing w:after="0"/>
              <w:rPr>
                <w:sz w:val="13"/>
                <w:szCs w:val="13"/>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6,315</w:t>
            </w:r>
          </w:p>
        </w:tc>
        <w:tc>
          <w:tcPr>
            <w:tcW w:w="80" w:type="dxa"/>
            <w:vAlign w:val="bottom"/>
          </w:tcPr>
          <w:p>
            <w:pPr>
              <w:spacing w:after="0"/>
              <w:rPr>
                <w:sz w:val="13"/>
                <w:szCs w:val="13"/>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2,288</w:t>
            </w:r>
          </w:p>
        </w:tc>
        <w:tc>
          <w:tcPr>
            <w:tcW w:w="140" w:type="dxa"/>
            <w:vAlign w:val="bottom"/>
          </w:tcPr>
          <w:p>
            <w:pPr>
              <w:spacing w:after="0"/>
              <w:rPr>
                <w:sz w:val="13"/>
                <w:szCs w:val="13"/>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56,713</w:t>
            </w:r>
          </w:p>
        </w:tc>
        <w:tc>
          <w:tcPr>
            <w:tcW w:w="100" w:type="dxa"/>
            <w:vAlign w:val="bottom"/>
          </w:tcPr>
          <w:p>
            <w:pPr>
              <w:spacing w:after="0"/>
              <w:rPr>
                <w:sz w:val="13"/>
                <w:szCs w:val="13"/>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20,909</w:t>
            </w:r>
          </w:p>
        </w:tc>
        <w:tc>
          <w:tcPr>
            <w:tcW w:w="80" w:type="dxa"/>
            <w:vAlign w:val="bottom"/>
          </w:tcPr>
          <w:p>
            <w:pPr>
              <w:spacing w:after="0"/>
              <w:rPr>
                <w:sz w:val="13"/>
                <w:szCs w:val="13"/>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3"/>
                <w:szCs w:val="13"/>
                <w:color w:val="auto"/>
              </w:rPr>
              <w:t>(14,015)</w:t>
            </w:r>
          </w:p>
        </w:tc>
        <w:tc>
          <w:tcPr>
            <w:tcW w:w="80" w:type="dxa"/>
            <w:vAlign w:val="bottom"/>
          </w:tcPr>
          <w:p>
            <w:pPr>
              <w:spacing w:after="0"/>
              <w:rPr>
                <w:sz w:val="13"/>
                <w:szCs w:val="13"/>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3"/>
                <w:szCs w:val="13"/>
                <w:color w:val="auto"/>
              </w:rPr>
              <w:t>19,021</w:t>
            </w:r>
          </w:p>
        </w:tc>
        <w:tc>
          <w:tcPr>
            <w:tcW w:w="160" w:type="dxa"/>
            <w:vAlign w:val="bottom"/>
          </w:tcPr>
          <w:p>
            <w:pPr>
              <w:spacing w:after="0"/>
              <w:rPr>
                <w:sz w:val="13"/>
                <w:szCs w:val="13"/>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27,197</w:t>
            </w:r>
          </w:p>
        </w:tc>
        <w:tc>
          <w:tcPr>
            <w:tcW w:w="0" w:type="dxa"/>
            <w:vAlign w:val="bottom"/>
          </w:tcPr>
          <w:p>
            <w:pPr>
              <w:spacing w:after="0"/>
              <w:rPr>
                <w:sz w:val="1"/>
                <w:szCs w:val="1"/>
                <w:color w:val="auto"/>
              </w:rPr>
            </w:pPr>
          </w:p>
        </w:tc>
      </w:tr>
      <w:tr>
        <w:trPr>
          <w:trHeight w:val="135"/>
        </w:trPr>
        <w:tc>
          <w:tcPr>
            <w:tcW w:w="144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Income and mining</w:t>
            </w: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44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taxes expense</w:t>
            </w: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440" w:type="dxa"/>
            <w:vAlign w:val="bottom"/>
            <w:gridSpan w:val="2"/>
            <w:shd w:val="clear" w:color="auto" w:fill="CCEEFF"/>
          </w:tcPr>
          <w:p>
            <w:pPr>
              <w:ind w:left="140"/>
              <w:spacing w:after="0"/>
              <w:rPr>
                <w:sz w:val="20"/>
                <w:szCs w:val="20"/>
                <w:color w:val="auto"/>
              </w:rPr>
            </w:pPr>
            <w:r>
              <w:rPr>
                <w:rFonts w:ascii="Arial" w:cs="Arial" w:eastAsia="Arial" w:hAnsi="Arial"/>
                <w:sz w:val="13"/>
                <w:szCs w:val="13"/>
                <w:color w:val="auto"/>
              </w:rPr>
              <w:t>(recovery)</w:t>
            </w:r>
          </w:p>
        </w:tc>
        <w:tc>
          <w:tcPr>
            <w:tcW w:w="8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11,659</w:t>
            </w:r>
          </w:p>
        </w:tc>
        <w:tc>
          <w:tcPr>
            <w:tcW w:w="80" w:type="dxa"/>
            <w:vAlign w:val="bottom"/>
            <w:shd w:val="clear" w:color="auto" w:fill="CCEEFF"/>
          </w:tcPr>
          <w:p>
            <w:pPr>
              <w:spacing w:after="0"/>
              <w:rPr>
                <w:sz w:val="13"/>
                <w:szCs w:val="13"/>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21,365</w:t>
            </w:r>
          </w:p>
        </w:tc>
        <w:tc>
          <w:tcPr>
            <w:tcW w:w="80" w:type="dxa"/>
            <w:vAlign w:val="bottom"/>
            <w:shd w:val="clear" w:color="auto" w:fill="CCEEFF"/>
          </w:tcPr>
          <w:p>
            <w:pPr>
              <w:spacing w:after="0"/>
              <w:rPr>
                <w:sz w:val="13"/>
                <w:szCs w:val="13"/>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23,571</w:t>
            </w:r>
          </w:p>
        </w:tc>
        <w:tc>
          <w:tcPr>
            <w:tcW w:w="14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27,970</w:t>
            </w:r>
          </w:p>
        </w:tc>
        <w:tc>
          <w:tcPr>
            <w:tcW w:w="10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10,826</w:t>
            </w:r>
          </w:p>
        </w:tc>
        <w:tc>
          <w:tcPr>
            <w:tcW w:w="8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(15,309)</w:t>
            </w:r>
          </w:p>
        </w:tc>
        <w:tc>
          <w:tcPr>
            <w:tcW w:w="80" w:type="dxa"/>
            <w:vAlign w:val="bottom"/>
            <w:shd w:val="clear" w:color="auto" w:fill="CCEEFF"/>
          </w:tcPr>
          <w:p>
            <w:pPr>
              <w:spacing w:after="0"/>
              <w:rPr>
                <w:sz w:val="13"/>
                <w:szCs w:val="13"/>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34,558</w:t>
            </w:r>
          </w:p>
        </w:tc>
        <w:tc>
          <w:tcPr>
            <w:tcW w:w="16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(591)</w:t>
            </w:r>
          </w:p>
        </w:tc>
        <w:tc>
          <w:tcPr>
            <w:tcW w:w="0" w:type="dxa"/>
            <w:vAlign w:val="bottom"/>
          </w:tcPr>
          <w:p>
            <w:pPr>
              <w:spacing w:after="0"/>
              <w:rPr>
                <w:sz w:val="1"/>
                <w:szCs w:val="1"/>
                <w:color w:val="auto"/>
              </w:rPr>
            </w:pPr>
          </w:p>
        </w:tc>
      </w:tr>
      <w:tr>
        <w:trPr>
          <w:trHeight w:val="26"/>
        </w:trPr>
        <w:tc>
          <w:tcPr>
            <w:tcW w:w="1440" w:type="dxa"/>
            <w:vAlign w:val="bottom"/>
            <w:gridSpan w:val="2"/>
            <w:vMerge w:val="restart"/>
          </w:tcPr>
          <w:p>
            <w:pPr>
              <w:spacing w:after="0"/>
              <w:rPr>
                <w:sz w:val="20"/>
                <w:szCs w:val="20"/>
                <w:color w:val="auto"/>
              </w:rPr>
            </w:pPr>
            <w:r>
              <w:rPr>
                <w:rFonts w:ascii="Arial" w:cs="Arial" w:eastAsia="Arial" w:hAnsi="Arial"/>
                <w:sz w:val="13"/>
                <w:szCs w:val="13"/>
                <w:color w:val="auto"/>
              </w:rPr>
              <w:t>Net income (loss) for</w:t>
            </w: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8"/>
        </w:trPr>
        <w:tc>
          <w:tcPr>
            <w:tcW w:w="144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the period</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60" w:type="dxa"/>
            <w:vAlign w:val="bottom"/>
            <w:gridSpan w:val="2"/>
          </w:tcPr>
          <w:p>
            <w:pPr>
              <w:jc w:val="right"/>
              <w:ind w:right="160"/>
              <w:spacing w:after="0"/>
              <w:rPr>
                <w:sz w:val="20"/>
                <w:szCs w:val="20"/>
                <w:color w:val="auto"/>
              </w:rPr>
            </w:pPr>
            <w:r>
              <w:rPr>
                <w:rFonts w:ascii="Arial" w:cs="Arial" w:eastAsia="Arial" w:hAnsi="Arial"/>
                <w:sz w:val="13"/>
                <w:szCs w:val="13"/>
                <w:color w:val="auto"/>
              </w:rPr>
              <w:t>22,158</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tcPr>
          <w:p>
            <w:pPr>
              <w:jc w:val="right"/>
              <w:ind w:right="100"/>
              <w:spacing w:after="0"/>
              <w:rPr>
                <w:sz w:val="20"/>
                <w:szCs w:val="20"/>
                <w:color w:val="auto"/>
              </w:rPr>
            </w:pPr>
            <w:r>
              <w:rPr>
                <w:rFonts w:ascii="Arial" w:cs="Arial" w:eastAsia="Arial" w:hAnsi="Arial"/>
                <w:sz w:val="13"/>
                <w:szCs w:val="13"/>
                <w:color w:val="auto"/>
              </w:rPr>
              <w:t>(15,050)</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00"/>
              <w:spacing w:after="0"/>
              <w:rPr>
                <w:sz w:val="20"/>
                <w:szCs w:val="20"/>
                <w:color w:val="auto"/>
              </w:rPr>
            </w:pPr>
            <w:r>
              <w:rPr>
                <w:rFonts w:ascii="Arial" w:cs="Arial" w:eastAsia="Arial" w:hAnsi="Arial"/>
                <w:sz w:val="13"/>
                <w:szCs w:val="13"/>
                <w:color w:val="auto"/>
              </w:rPr>
              <w:t>(21,283)</w:t>
            </w: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28,743</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10,083</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1,294</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980" w:type="dxa"/>
            <w:vAlign w:val="bottom"/>
            <w:gridSpan w:val="2"/>
          </w:tcPr>
          <w:p>
            <w:pPr>
              <w:jc w:val="right"/>
              <w:ind w:right="100"/>
              <w:spacing w:after="0"/>
              <w:rPr>
                <w:sz w:val="20"/>
                <w:szCs w:val="20"/>
                <w:color w:val="auto"/>
              </w:rPr>
            </w:pPr>
            <w:r>
              <w:rPr>
                <w:rFonts w:ascii="Arial" w:cs="Arial" w:eastAsia="Arial" w:hAnsi="Arial"/>
                <w:sz w:val="13"/>
                <w:szCs w:val="13"/>
                <w:color w:val="auto"/>
              </w:rPr>
              <w:t>(15,537)</w:t>
            </w:r>
          </w:p>
        </w:tc>
        <w:tc>
          <w:tcPr>
            <w:tcW w:w="160" w:type="dxa"/>
            <w:vAlign w:val="bottom"/>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27,788</w:t>
            </w:r>
          </w:p>
        </w:tc>
        <w:tc>
          <w:tcPr>
            <w:tcW w:w="0" w:type="dxa"/>
            <w:vAlign w:val="bottom"/>
          </w:tcPr>
          <w:p>
            <w:pPr>
              <w:spacing w:after="0"/>
              <w:rPr>
                <w:sz w:val="1"/>
                <w:szCs w:val="1"/>
                <w:color w:val="auto"/>
              </w:rPr>
            </w:pPr>
          </w:p>
        </w:tc>
      </w:tr>
      <w:tr>
        <w:trPr>
          <w:trHeight w:val="20"/>
        </w:trPr>
        <w:tc>
          <w:tcPr>
            <w:tcW w:w="7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2"/>
        </w:trPr>
        <w:tc>
          <w:tcPr>
            <w:tcW w:w="1440" w:type="dxa"/>
            <w:vAlign w:val="bottom"/>
            <w:gridSpan w:val="2"/>
            <w:shd w:val="clear" w:color="auto" w:fill="CCEEFF"/>
          </w:tcPr>
          <w:p>
            <w:pPr>
              <w:spacing w:after="0" w:line="122" w:lineRule="exact"/>
              <w:rPr>
                <w:sz w:val="20"/>
                <w:szCs w:val="20"/>
                <w:color w:val="auto"/>
              </w:rPr>
            </w:pPr>
            <w:r>
              <w:rPr>
                <w:rFonts w:ascii="Arial" w:cs="Arial" w:eastAsia="Arial" w:hAnsi="Arial"/>
                <w:sz w:val="13"/>
                <w:szCs w:val="13"/>
                <w:color w:val="auto"/>
              </w:rPr>
              <w:t>Net income (loss) per</w:t>
            </w:r>
          </w:p>
        </w:tc>
        <w:tc>
          <w:tcPr>
            <w:tcW w:w="8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8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8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4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53"/>
        </w:trPr>
        <w:tc>
          <w:tcPr>
            <w:tcW w:w="1440" w:type="dxa"/>
            <w:vAlign w:val="bottom"/>
            <w:gridSpan w:val="2"/>
            <w:shd w:val="clear" w:color="auto" w:fill="CCEEFF"/>
          </w:tcPr>
          <w:p>
            <w:pPr>
              <w:ind w:left="140"/>
              <w:spacing w:after="0"/>
              <w:rPr>
                <w:sz w:val="20"/>
                <w:szCs w:val="20"/>
                <w:color w:val="auto"/>
              </w:rPr>
            </w:pPr>
            <w:r>
              <w:rPr>
                <w:rFonts w:ascii="Arial" w:cs="Arial" w:eastAsia="Arial" w:hAnsi="Arial"/>
                <w:sz w:val="13"/>
                <w:szCs w:val="13"/>
                <w:color w:val="auto"/>
              </w:rPr>
              <w:t>share — basic (US$)</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0.12</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(0.07)</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(0.10)</w:t>
            </w: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0.13</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0.05</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0.01</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(0.07)</w:t>
            </w:r>
          </w:p>
        </w:tc>
        <w:tc>
          <w:tcPr>
            <w:tcW w:w="160" w:type="dxa"/>
            <w:vAlign w:val="bottom"/>
            <w:shd w:val="clear" w:color="auto" w:fill="CCEEFF"/>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0.13</w:t>
            </w:r>
          </w:p>
        </w:tc>
        <w:tc>
          <w:tcPr>
            <w:tcW w:w="0" w:type="dxa"/>
            <w:vAlign w:val="bottom"/>
          </w:tcPr>
          <w:p>
            <w:pPr>
              <w:spacing w:after="0"/>
              <w:rPr>
                <w:sz w:val="1"/>
                <w:szCs w:val="1"/>
                <w:color w:val="auto"/>
              </w:rPr>
            </w:pPr>
          </w:p>
        </w:tc>
      </w:tr>
      <w:tr>
        <w:trPr>
          <w:trHeight w:val="135"/>
        </w:trPr>
        <w:tc>
          <w:tcPr>
            <w:tcW w:w="1440" w:type="dxa"/>
            <w:vAlign w:val="bottom"/>
            <w:gridSpan w:val="2"/>
          </w:tcPr>
          <w:p>
            <w:pPr>
              <w:spacing w:after="0" w:line="136" w:lineRule="exact"/>
              <w:rPr>
                <w:sz w:val="20"/>
                <w:szCs w:val="20"/>
                <w:color w:val="auto"/>
              </w:rPr>
            </w:pPr>
            <w:r>
              <w:rPr>
                <w:rFonts w:ascii="Arial" w:cs="Arial" w:eastAsia="Arial" w:hAnsi="Arial"/>
                <w:sz w:val="13"/>
                <w:szCs w:val="13"/>
                <w:color w:val="auto"/>
              </w:rPr>
              <w:t>Net income (loss) per</w:t>
            </w: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share — diluted</w:t>
            </w: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(US$)</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60" w:type="dxa"/>
            <w:vAlign w:val="bottom"/>
            <w:gridSpan w:val="2"/>
          </w:tcPr>
          <w:p>
            <w:pPr>
              <w:jc w:val="right"/>
              <w:ind w:right="160"/>
              <w:spacing w:after="0"/>
              <w:rPr>
                <w:sz w:val="20"/>
                <w:szCs w:val="20"/>
                <w:color w:val="auto"/>
              </w:rPr>
            </w:pPr>
            <w:r>
              <w:rPr>
                <w:rFonts w:ascii="Arial" w:cs="Arial" w:eastAsia="Arial" w:hAnsi="Arial"/>
                <w:sz w:val="13"/>
                <w:szCs w:val="13"/>
                <w:color w:val="auto"/>
              </w:rPr>
              <w:t>0.12</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tcPr>
          <w:p>
            <w:pPr>
              <w:jc w:val="right"/>
              <w:ind w:right="100"/>
              <w:spacing w:after="0"/>
              <w:rPr>
                <w:sz w:val="20"/>
                <w:szCs w:val="20"/>
                <w:color w:val="auto"/>
              </w:rPr>
            </w:pPr>
            <w:r>
              <w:rPr>
                <w:rFonts w:ascii="Arial" w:cs="Arial" w:eastAsia="Arial" w:hAnsi="Arial"/>
                <w:sz w:val="13"/>
                <w:szCs w:val="13"/>
                <w:color w:val="auto"/>
              </w:rPr>
              <w:t>(0.10)</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00"/>
              <w:spacing w:after="0"/>
              <w:rPr>
                <w:sz w:val="20"/>
                <w:szCs w:val="20"/>
                <w:color w:val="auto"/>
              </w:rPr>
            </w:pPr>
            <w:r>
              <w:rPr>
                <w:rFonts w:ascii="Arial" w:cs="Arial" w:eastAsia="Arial" w:hAnsi="Arial"/>
                <w:sz w:val="13"/>
                <w:szCs w:val="13"/>
                <w:color w:val="auto"/>
              </w:rPr>
              <w:t>(0.12)</w:t>
            </w: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0.13</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0.05</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0.01</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980" w:type="dxa"/>
            <w:vAlign w:val="bottom"/>
            <w:gridSpan w:val="2"/>
          </w:tcPr>
          <w:p>
            <w:pPr>
              <w:jc w:val="right"/>
              <w:ind w:right="100"/>
              <w:spacing w:after="0"/>
              <w:rPr>
                <w:sz w:val="20"/>
                <w:szCs w:val="20"/>
                <w:color w:val="auto"/>
              </w:rPr>
            </w:pPr>
            <w:r>
              <w:rPr>
                <w:rFonts w:ascii="Arial" w:cs="Arial" w:eastAsia="Arial" w:hAnsi="Arial"/>
                <w:sz w:val="13"/>
                <w:szCs w:val="13"/>
                <w:color w:val="auto"/>
              </w:rPr>
              <w:t>(0.07)</w:t>
            </w:r>
          </w:p>
        </w:tc>
        <w:tc>
          <w:tcPr>
            <w:tcW w:w="160" w:type="dxa"/>
            <w:vAlign w:val="bottom"/>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0.13</w:t>
            </w:r>
          </w:p>
        </w:tc>
        <w:tc>
          <w:tcPr>
            <w:tcW w:w="0" w:type="dxa"/>
            <w:vAlign w:val="bottom"/>
          </w:tcPr>
          <w:p>
            <w:pPr>
              <w:spacing w:after="0"/>
              <w:rPr>
                <w:sz w:val="1"/>
                <w:szCs w:val="1"/>
                <w:color w:val="auto"/>
              </w:rPr>
            </w:pPr>
          </w:p>
        </w:tc>
      </w:tr>
      <w:tr>
        <w:trPr>
          <w:trHeight w:val="315"/>
        </w:trPr>
        <w:tc>
          <w:tcPr>
            <w:tcW w:w="1440" w:type="dxa"/>
            <w:vAlign w:val="bottom"/>
            <w:gridSpan w:val="2"/>
            <w:shd w:val="clear" w:color="auto" w:fill="CCEEFF"/>
          </w:tcPr>
          <w:p>
            <w:pPr>
              <w:spacing w:after="0"/>
              <w:rPr>
                <w:sz w:val="20"/>
                <w:szCs w:val="20"/>
                <w:color w:val="auto"/>
              </w:rPr>
            </w:pPr>
            <w:r>
              <w:rPr>
                <w:rFonts w:ascii="Arial" w:cs="Arial" w:eastAsia="Arial" w:hAnsi="Arial"/>
                <w:sz w:val="13"/>
                <w:szCs w:val="13"/>
                <w:b w:val="1"/>
                <w:bCs w:val="1"/>
                <w:color w:val="auto"/>
              </w:rPr>
              <w:t>Cash flows:</w:t>
            </w:r>
          </w:p>
        </w:tc>
        <w:tc>
          <w:tcPr>
            <w:tcW w:w="8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1440" w:type="dxa"/>
            <w:vAlign w:val="bottom"/>
            <w:gridSpan w:val="2"/>
          </w:tcPr>
          <w:p>
            <w:pPr>
              <w:spacing w:after="0" w:line="136" w:lineRule="exact"/>
              <w:rPr>
                <w:sz w:val="20"/>
                <w:szCs w:val="20"/>
                <w:color w:val="auto"/>
              </w:rPr>
            </w:pPr>
            <w:r>
              <w:rPr>
                <w:rFonts w:ascii="Arial" w:cs="Arial" w:eastAsia="Arial" w:hAnsi="Arial"/>
                <w:sz w:val="13"/>
                <w:szCs w:val="13"/>
                <w:color w:val="auto"/>
              </w:rPr>
              <w:t>Cash provided by</w:t>
            </w: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operating activities</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60" w:type="dxa"/>
            <w:vAlign w:val="bottom"/>
            <w:gridSpan w:val="2"/>
          </w:tcPr>
          <w:p>
            <w:pPr>
              <w:jc w:val="right"/>
              <w:ind w:right="160"/>
              <w:spacing w:after="0"/>
              <w:rPr>
                <w:sz w:val="20"/>
                <w:szCs w:val="20"/>
                <w:color w:val="auto"/>
              </w:rPr>
            </w:pPr>
            <w:r>
              <w:rPr>
                <w:rFonts w:ascii="Arial" w:cs="Arial" w:eastAsia="Arial" w:hAnsi="Arial"/>
                <w:sz w:val="13"/>
                <w:szCs w:val="13"/>
                <w:color w:val="auto"/>
              </w:rPr>
              <w:t>182,728</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71,244</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163,956</w:t>
            </w: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143,455</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60"/>
              <w:spacing w:after="0"/>
              <w:rPr>
                <w:sz w:val="20"/>
                <w:szCs w:val="20"/>
                <w:color w:val="auto"/>
              </w:rPr>
            </w:pPr>
            <w:r>
              <w:rPr>
                <w:rFonts w:ascii="Arial" w:cs="Arial" w:eastAsia="Arial" w:hAnsi="Arial"/>
                <w:sz w:val="13"/>
                <w:szCs w:val="13"/>
                <w:color w:val="auto"/>
              </w:rPr>
              <w:t>188,349</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143,687</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980" w:type="dxa"/>
            <w:vAlign w:val="bottom"/>
            <w:gridSpan w:val="2"/>
          </w:tcPr>
          <w:p>
            <w:pPr>
              <w:jc w:val="right"/>
              <w:ind w:right="140"/>
              <w:spacing w:after="0"/>
              <w:rPr>
                <w:sz w:val="20"/>
                <w:szCs w:val="20"/>
                <w:color w:val="auto"/>
              </w:rPr>
            </w:pPr>
            <w:r>
              <w:rPr>
                <w:rFonts w:ascii="Arial" w:cs="Arial" w:eastAsia="Arial" w:hAnsi="Arial"/>
                <w:sz w:val="13"/>
                <w:szCs w:val="13"/>
                <w:color w:val="auto"/>
              </w:rPr>
              <w:t>140,747</w:t>
            </w:r>
          </w:p>
        </w:tc>
        <w:tc>
          <w:tcPr>
            <w:tcW w:w="160" w:type="dxa"/>
            <w:vAlign w:val="bottom"/>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40"/>
              <w:spacing w:after="0"/>
              <w:rPr>
                <w:sz w:val="20"/>
                <w:szCs w:val="20"/>
                <w:color w:val="auto"/>
              </w:rPr>
            </w:pPr>
            <w:r>
              <w:rPr>
                <w:rFonts w:ascii="Arial" w:cs="Arial" w:eastAsia="Arial" w:hAnsi="Arial"/>
                <w:sz w:val="13"/>
                <w:szCs w:val="13"/>
                <w:color w:val="auto"/>
              </w:rPr>
              <w:t>145,704</w:t>
            </w:r>
          </w:p>
        </w:tc>
        <w:tc>
          <w:tcPr>
            <w:tcW w:w="0" w:type="dxa"/>
            <w:vAlign w:val="bottom"/>
          </w:tcPr>
          <w:p>
            <w:pPr>
              <w:spacing w:after="0"/>
              <w:rPr>
                <w:sz w:val="1"/>
                <w:szCs w:val="1"/>
                <w:color w:val="auto"/>
              </w:rPr>
            </w:pPr>
          </w:p>
        </w:tc>
      </w:tr>
      <w:tr>
        <w:trPr>
          <w:trHeight w:val="135"/>
        </w:trPr>
        <w:tc>
          <w:tcPr>
            <w:tcW w:w="1440" w:type="dxa"/>
            <w:vAlign w:val="bottom"/>
            <w:gridSpan w:val="2"/>
            <w:shd w:val="clear" w:color="auto" w:fill="CCEEFF"/>
          </w:tcPr>
          <w:p>
            <w:pPr>
              <w:spacing w:after="0" w:line="136" w:lineRule="exact"/>
              <w:rPr>
                <w:sz w:val="20"/>
                <w:szCs w:val="20"/>
                <w:color w:val="auto"/>
              </w:rPr>
            </w:pPr>
            <w:r>
              <w:rPr>
                <w:rFonts w:ascii="Arial" w:cs="Arial" w:eastAsia="Arial" w:hAnsi="Arial"/>
                <w:sz w:val="13"/>
                <w:szCs w:val="13"/>
                <w:color w:val="auto"/>
              </w:rPr>
              <w:t>Cash used in investing</w:t>
            </w: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440" w:type="dxa"/>
            <w:vAlign w:val="bottom"/>
            <w:gridSpan w:val="2"/>
            <w:shd w:val="clear" w:color="auto" w:fill="CCEEFF"/>
          </w:tcPr>
          <w:p>
            <w:pPr>
              <w:ind w:left="140"/>
              <w:spacing w:after="0"/>
              <w:rPr>
                <w:sz w:val="20"/>
                <w:szCs w:val="20"/>
                <w:color w:val="auto"/>
              </w:rPr>
            </w:pPr>
            <w:r>
              <w:rPr>
                <w:rFonts w:ascii="Arial" w:cs="Arial" w:eastAsia="Arial" w:hAnsi="Arial"/>
                <w:sz w:val="13"/>
                <w:szCs w:val="13"/>
                <w:color w:val="auto"/>
              </w:rPr>
              <w:t>activities</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(488,543)</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(131,662)</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(123,126)</w:t>
            </w: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(53,892)</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(104,476)</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(100,365)</w:t>
            </w:r>
          </w:p>
        </w:tc>
        <w:tc>
          <w:tcPr>
            <w:tcW w:w="8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(115,786)</w:t>
            </w:r>
          </w:p>
        </w:tc>
        <w:tc>
          <w:tcPr>
            <w:tcW w:w="160" w:type="dxa"/>
            <w:vAlign w:val="bottom"/>
            <w:shd w:val="clear" w:color="auto" w:fill="CCEEFF"/>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(107,595)</w:t>
            </w:r>
          </w:p>
        </w:tc>
        <w:tc>
          <w:tcPr>
            <w:tcW w:w="0" w:type="dxa"/>
            <w:vAlign w:val="bottom"/>
          </w:tcPr>
          <w:p>
            <w:pPr>
              <w:spacing w:after="0"/>
              <w:rPr>
                <w:sz w:val="1"/>
                <w:szCs w:val="1"/>
                <w:color w:val="auto"/>
              </w:rPr>
            </w:pPr>
          </w:p>
        </w:tc>
      </w:tr>
      <w:tr>
        <w:trPr>
          <w:trHeight w:val="135"/>
        </w:trPr>
        <w:tc>
          <w:tcPr>
            <w:tcW w:w="1440" w:type="dxa"/>
            <w:vAlign w:val="bottom"/>
            <w:gridSpan w:val="2"/>
          </w:tcPr>
          <w:p>
            <w:pPr>
              <w:spacing w:after="0" w:line="136" w:lineRule="exact"/>
              <w:rPr>
                <w:sz w:val="20"/>
                <w:szCs w:val="20"/>
                <w:color w:val="auto"/>
              </w:rPr>
            </w:pPr>
            <w:r>
              <w:rPr>
                <w:rFonts w:ascii="Arial" w:cs="Arial" w:eastAsia="Arial" w:hAnsi="Arial"/>
                <w:sz w:val="13"/>
                <w:szCs w:val="13"/>
                <w:color w:val="auto"/>
              </w:rPr>
              <w:t>Cash provided by (used</w:t>
            </w: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44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in) financing</w:t>
            </w: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1440" w:type="dxa"/>
            <w:vAlign w:val="bottom"/>
            <w:gridSpan w:val="2"/>
          </w:tcPr>
          <w:p>
            <w:pPr>
              <w:ind w:left="140"/>
              <w:spacing w:after="0"/>
              <w:rPr>
                <w:sz w:val="20"/>
                <w:szCs w:val="20"/>
                <w:color w:val="auto"/>
              </w:rPr>
            </w:pPr>
            <w:r>
              <w:rPr>
                <w:rFonts w:ascii="Arial" w:cs="Arial" w:eastAsia="Arial" w:hAnsi="Arial"/>
                <w:sz w:val="13"/>
                <w:szCs w:val="13"/>
                <w:color w:val="auto"/>
              </w:rPr>
              <w:t>activities</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60" w:type="dxa"/>
            <w:vAlign w:val="bottom"/>
            <w:gridSpan w:val="2"/>
          </w:tcPr>
          <w:p>
            <w:pPr>
              <w:jc w:val="right"/>
              <w:ind w:right="160"/>
              <w:spacing w:after="0"/>
              <w:rPr>
                <w:sz w:val="20"/>
                <w:szCs w:val="20"/>
                <w:color w:val="auto"/>
              </w:rPr>
            </w:pPr>
            <w:r>
              <w:rPr>
                <w:rFonts w:ascii="Arial" w:cs="Arial" w:eastAsia="Arial" w:hAnsi="Arial"/>
                <w:sz w:val="13"/>
                <w:szCs w:val="13"/>
                <w:color w:val="auto"/>
              </w:rPr>
              <w:t>381,951</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gridSpan w:val="2"/>
          </w:tcPr>
          <w:p>
            <w:pPr>
              <w:jc w:val="right"/>
              <w:ind w:right="100"/>
              <w:spacing w:after="0"/>
              <w:rPr>
                <w:sz w:val="20"/>
                <w:szCs w:val="20"/>
                <w:color w:val="auto"/>
              </w:rPr>
            </w:pPr>
            <w:r>
              <w:rPr>
                <w:rFonts w:ascii="Arial" w:cs="Arial" w:eastAsia="Arial" w:hAnsi="Arial"/>
                <w:sz w:val="13"/>
                <w:szCs w:val="13"/>
                <w:color w:val="auto"/>
              </w:rPr>
              <w:t>(35,943)</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00"/>
              <w:spacing w:after="0"/>
              <w:rPr>
                <w:sz w:val="20"/>
                <w:szCs w:val="20"/>
                <w:color w:val="auto"/>
              </w:rPr>
            </w:pPr>
            <w:r>
              <w:rPr>
                <w:rFonts w:ascii="Arial" w:cs="Arial" w:eastAsia="Arial" w:hAnsi="Arial"/>
                <w:sz w:val="13"/>
                <w:szCs w:val="13"/>
                <w:color w:val="auto"/>
              </w:rPr>
              <w:t>(18,685)</w:t>
            </w: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20"/>
              <w:spacing w:after="0"/>
              <w:rPr>
                <w:sz w:val="20"/>
                <w:szCs w:val="20"/>
                <w:color w:val="auto"/>
              </w:rPr>
            </w:pPr>
            <w:r>
              <w:rPr>
                <w:rFonts w:ascii="Arial" w:cs="Arial" w:eastAsia="Arial" w:hAnsi="Arial"/>
                <w:sz w:val="13"/>
                <w:szCs w:val="13"/>
                <w:color w:val="auto"/>
              </w:rPr>
              <w:t>(123,182)</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20"/>
              <w:spacing w:after="0"/>
              <w:rPr>
                <w:sz w:val="20"/>
                <w:szCs w:val="20"/>
                <w:color w:val="auto"/>
              </w:rPr>
            </w:pPr>
            <w:r>
              <w:rPr>
                <w:rFonts w:ascii="Arial" w:cs="Arial" w:eastAsia="Arial" w:hAnsi="Arial"/>
                <w:sz w:val="13"/>
                <w:szCs w:val="13"/>
                <w:color w:val="auto"/>
              </w:rPr>
              <w:t>(64,514)</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40" w:type="dxa"/>
            <w:vAlign w:val="bottom"/>
            <w:gridSpan w:val="2"/>
          </w:tcPr>
          <w:p>
            <w:pPr>
              <w:jc w:val="right"/>
              <w:ind w:right="160"/>
              <w:spacing w:after="0"/>
              <w:rPr>
                <w:sz w:val="20"/>
                <w:szCs w:val="20"/>
                <w:color w:val="auto"/>
              </w:rPr>
            </w:pPr>
            <w:r>
              <w:rPr>
                <w:rFonts w:ascii="Arial" w:cs="Arial" w:eastAsia="Arial" w:hAnsi="Arial"/>
                <w:sz w:val="13"/>
                <w:szCs w:val="13"/>
                <w:color w:val="auto"/>
              </w:rPr>
              <w:t>7,396</w:t>
            </w:r>
          </w:p>
        </w:tc>
        <w:tc>
          <w:tcPr>
            <w:tcW w:w="8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980" w:type="dxa"/>
            <w:vAlign w:val="bottom"/>
            <w:gridSpan w:val="2"/>
          </w:tcPr>
          <w:p>
            <w:pPr>
              <w:jc w:val="right"/>
              <w:ind w:right="100"/>
              <w:spacing w:after="0"/>
              <w:rPr>
                <w:sz w:val="20"/>
                <w:szCs w:val="20"/>
                <w:color w:val="auto"/>
              </w:rPr>
            </w:pPr>
            <w:r>
              <w:rPr>
                <w:rFonts w:ascii="Arial" w:cs="Arial" w:eastAsia="Arial" w:hAnsi="Arial"/>
                <w:sz w:val="13"/>
                <w:szCs w:val="13"/>
                <w:color w:val="auto"/>
              </w:rPr>
              <w:t>(100,460)</w:t>
            </w:r>
          </w:p>
        </w:tc>
        <w:tc>
          <w:tcPr>
            <w:tcW w:w="160" w:type="dxa"/>
            <w:vAlign w:val="bottom"/>
          </w:tcPr>
          <w:p>
            <w:pPr>
              <w:jc w:val="right"/>
              <w:ind w:right="14"/>
              <w:spacing w:after="0"/>
              <w:rPr>
                <w:sz w:val="20"/>
                <w:szCs w:val="20"/>
                <w:color w:val="auto"/>
              </w:rPr>
            </w:pPr>
            <w:r>
              <w:rPr>
                <w:rFonts w:ascii="Arial" w:cs="Arial" w:eastAsia="Arial" w:hAnsi="Arial"/>
                <w:sz w:val="13"/>
                <w:szCs w:val="13"/>
                <w:color w:val="auto"/>
                <w:w w:val="82"/>
              </w:rPr>
              <w:t>$</w:t>
            </w:r>
          </w:p>
        </w:tc>
        <w:tc>
          <w:tcPr>
            <w:tcW w:w="720" w:type="dxa"/>
            <w:vAlign w:val="bottom"/>
            <w:gridSpan w:val="2"/>
          </w:tcPr>
          <w:p>
            <w:pPr>
              <w:jc w:val="right"/>
              <w:ind w:right="100"/>
              <w:spacing w:after="0"/>
              <w:rPr>
                <w:sz w:val="20"/>
                <w:szCs w:val="20"/>
                <w:color w:val="auto"/>
              </w:rPr>
            </w:pPr>
            <w:r>
              <w:rPr>
                <w:rFonts w:ascii="Arial" w:cs="Arial" w:eastAsia="Arial" w:hAnsi="Arial"/>
                <w:sz w:val="13"/>
                <w:szCs w:val="13"/>
                <w:color w:val="auto"/>
              </w:rPr>
              <w:t>(1,588)</w:t>
            </w:r>
          </w:p>
        </w:tc>
        <w:tc>
          <w:tcPr>
            <w:tcW w:w="0" w:type="dxa"/>
            <w:vAlign w:val="bottom"/>
          </w:tcPr>
          <w:p>
            <w:pPr>
              <w:spacing w:after="0"/>
              <w:rPr>
                <w:sz w:val="1"/>
                <w:szCs w:val="1"/>
                <w:color w:val="auto"/>
              </w:rPr>
            </w:pPr>
          </w:p>
        </w:tc>
      </w:tr>
      <w:tr>
        <w:trPr>
          <w:trHeight w:val="93"/>
        </w:trPr>
        <w:tc>
          <w:tcPr>
            <w:tcW w:w="780" w:type="dxa"/>
            <w:vAlign w:val="bottom"/>
            <w:tcBorders>
              <w:bottom w:val="single" w:sz="8" w:color="auto"/>
            </w:tcBorders>
          </w:tcPr>
          <w:p>
            <w:pPr>
              <w:spacing w:after="0"/>
              <w:rPr>
                <w:sz w:val="8"/>
                <w:szCs w:val="8"/>
                <w:color w:val="auto"/>
              </w:rPr>
            </w:pPr>
          </w:p>
        </w:tc>
        <w:tc>
          <w:tcPr>
            <w:tcW w:w="660" w:type="dxa"/>
            <w:vAlign w:val="bottom"/>
          </w:tcPr>
          <w:p>
            <w:pPr>
              <w:spacing w:after="0"/>
              <w:rPr>
                <w:sz w:val="8"/>
                <w:szCs w:val="8"/>
                <w:color w:val="auto"/>
              </w:rPr>
            </w:pPr>
          </w:p>
        </w:tc>
        <w:tc>
          <w:tcPr>
            <w:tcW w:w="80" w:type="dxa"/>
            <w:vAlign w:val="bottom"/>
          </w:tcPr>
          <w:p>
            <w:pPr>
              <w:spacing w:after="0"/>
              <w:rPr>
                <w:sz w:val="8"/>
                <w:szCs w:val="8"/>
                <w:color w:val="auto"/>
              </w:rPr>
            </w:pPr>
          </w:p>
        </w:tc>
        <w:tc>
          <w:tcPr>
            <w:tcW w:w="60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88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8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5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58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88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84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0" w:type="dxa"/>
            <w:vAlign w:val="bottom"/>
          </w:tcPr>
          <w:p>
            <w:pPr>
              <w:spacing w:after="0"/>
              <w:rPr>
                <w:sz w:val="8"/>
                <w:szCs w:val="8"/>
                <w:color w:val="auto"/>
              </w:rPr>
            </w:pPr>
          </w:p>
        </w:tc>
        <w:tc>
          <w:tcPr>
            <w:tcW w:w="580" w:type="dxa"/>
            <w:vAlign w:val="bottom"/>
          </w:tcPr>
          <w:p>
            <w:pPr>
              <w:spacing w:after="0"/>
              <w:rPr>
                <w:sz w:val="8"/>
                <w:szCs w:val="8"/>
                <w:color w:val="auto"/>
              </w:rPr>
            </w:pPr>
          </w:p>
        </w:tc>
        <w:tc>
          <w:tcPr>
            <w:tcW w:w="1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3"/>
          <w:szCs w:val="13"/>
          <w:color w:val="auto"/>
        </w:rPr>
        <w:t>Notes:</w:t>
      </w:r>
    </w:p>
    <w:p>
      <w:pPr>
        <w:spacing w:after="0" w:line="191" w:lineRule="exact"/>
        <w:rPr>
          <w:sz w:val="20"/>
          <w:szCs w:val="20"/>
          <w:color w:val="auto"/>
        </w:rPr>
      </w:pPr>
    </w:p>
    <w:p>
      <w:pPr>
        <w:ind w:left="540" w:hanging="533"/>
        <w:spacing w:after="0"/>
        <w:tabs>
          <w:tab w:leader="none" w:pos="540" w:val="left"/>
        </w:tabs>
        <w:numPr>
          <w:ilvl w:val="0"/>
          <w:numId w:val="6"/>
        </w:numPr>
        <w:rPr>
          <w:rFonts w:ascii="Arial" w:cs="Arial" w:eastAsia="Arial" w:hAnsi="Arial"/>
          <w:sz w:val="13"/>
          <w:szCs w:val="13"/>
          <w:color w:val="auto"/>
        </w:rPr>
      </w:pPr>
      <w:r>
        <w:rPr>
          <w:rFonts w:ascii="Arial" w:cs="Arial" w:eastAsia="Arial" w:hAnsi="Arial"/>
          <w:sz w:val="13"/>
          <w:szCs w:val="13"/>
          <w:color w:val="auto"/>
        </w:rPr>
        <w:t>Operating margin is calculated as revenues from mining operations less production costs.</w:t>
      </w:r>
    </w:p>
    <w:p>
      <w:pPr>
        <w:spacing w:after="0" w:line="125" w:lineRule="exact"/>
        <w:rPr>
          <w:rFonts w:ascii="Arial" w:cs="Arial" w:eastAsia="Arial" w:hAnsi="Arial"/>
          <w:sz w:val="13"/>
          <w:szCs w:val="13"/>
          <w:color w:val="auto"/>
        </w:rPr>
      </w:pPr>
    </w:p>
    <w:p>
      <w:pPr>
        <w:jc w:val="both"/>
        <w:ind w:left="540" w:hanging="533"/>
        <w:spacing w:after="0" w:line="243" w:lineRule="auto"/>
        <w:tabs>
          <w:tab w:leader="none" w:pos="540" w:val="left"/>
        </w:tabs>
        <w:numPr>
          <w:ilvl w:val="0"/>
          <w:numId w:val="6"/>
        </w:numPr>
        <w:rPr>
          <w:rFonts w:ascii="Arial" w:cs="Arial" w:eastAsia="Arial" w:hAnsi="Arial"/>
          <w:sz w:val="13"/>
          <w:szCs w:val="13"/>
          <w:color w:val="auto"/>
        </w:rPr>
      </w:pPr>
      <w:r>
        <w:rPr>
          <w:rFonts w:ascii="Arial" w:cs="Arial" w:eastAsia="Arial" w:hAnsi="Arial"/>
          <w:sz w:val="13"/>
          <w:szCs w:val="13"/>
          <w:color w:val="auto"/>
        </w:rPr>
        <w:t>On June 16, 2014, Agnico Eagle and Yamana jointly acquired 100.0% of Osisko by way of the Arrangement. As a result of the Arrangement, Agnico Eagle and Yamana each indirectly own 50.0% of CMC and the Partnership, which now holds the Canadian Malartic mine. The information set out in this table reflects the Company's 50.0% interest in the Canadian Malartic mine since the date of acquisition.</w:t>
      </w:r>
    </w:p>
    <w:p>
      <w:pPr>
        <w:spacing w:after="0" w:line="189" w:lineRule="exact"/>
        <w:rPr>
          <w:sz w:val="20"/>
          <w:szCs w:val="20"/>
          <w:color w:val="auto"/>
        </w:rPr>
      </w:pPr>
    </w:p>
    <w:p>
      <w:pPr>
        <w:ind w:left="4480"/>
        <w:spacing w:after="0"/>
        <w:rPr>
          <w:sz w:val="20"/>
          <w:szCs w:val="20"/>
          <w:color w:val="auto"/>
        </w:rPr>
      </w:pPr>
      <w:r>
        <w:rPr>
          <w:rFonts w:ascii="Arial" w:cs="Arial" w:eastAsia="Arial" w:hAnsi="Arial"/>
          <w:sz w:val="17"/>
          <w:szCs w:val="17"/>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0280"/>
          </w:cols>
          <w:pgMar w:left="1380" w:top="337" w:right="239" w:bottom="1440" w:gutter="0" w:footer="0" w:header="0"/>
        </w:sectPr>
      </w:pPr>
    </w:p>
    <w:bookmarkStart w:id="29" w:name="page30"/>
    <w:bookmarkEnd w:id="29"/>
    <w:p>
      <w:pPr>
        <w:jc w:val="center"/>
        <w:ind w:left="1420" w:right="2100"/>
        <w:spacing w:after="0" w:line="270" w:lineRule="auto"/>
        <w:rPr>
          <w:sz w:val="20"/>
          <w:szCs w:val="20"/>
          <w:color w:val="auto"/>
        </w:rPr>
      </w:pPr>
      <w:r>
        <w:rPr>
          <w:rFonts w:ascii="Arial" w:cs="Arial" w:eastAsia="Arial" w:hAnsi="Arial"/>
          <w:sz w:val="17"/>
          <w:szCs w:val="17"/>
          <w:b w:val="1"/>
          <w:bCs w:val="1"/>
          <w:color w:val="auto"/>
        </w:rPr>
        <w:t>AGNICO EAGLE MINES LIMITED CONDENSED INTERIM CONSOLIDATED BALANCE SHEETS (thousands of United States dollars, except share amounts) (Unaudited)</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70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87"/>
              </w:rPr>
              <w:t>As at</w:t>
            </w:r>
          </w:p>
        </w:tc>
        <w:tc>
          <w:tcPr>
            <w:tcW w:w="100" w:type="dxa"/>
            <w:vAlign w:val="bottom"/>
          </w:tcPr>
          <w:p>
            <w:pPr>
              <w:spacing w:after="0"/>
              <w:rPr>
                <w:sz w:val="13"/>
                <w:szCs w:val="13"/>
                <w:color w:val="auto"/>
              </w:rPr>
            </w:pPr>
          </w:p>
        </w:tc>
        <w:tc>
          <w:tcPr>
            <w:tcW w:w="98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4"/>
              </w:rPr>
              <w:t>As at</w:t>
            </w:r>
          </w:p>
        </w:tc>
        <w:tc>
          <w:tcPr>
            <w:tcW w:w="0" w:type="dxa"/>
            <w:vAlign w:val="bottom"/>
          </w:tcPr>
          <w:p>
            <w:pPr>
              <w:spacing w:after="0"/>
              <w:rPr>
                <w:sz w:val="1"/>
                <w:szCs w:val="1"/>
                <w:color w:val="auto"/>
              </w:rPr>
            </w:pPr>
          </w:p>
        </w:tc>
      </w:tr>
      <w:tr>
        <w:trPr>
          <w:trHeight w:val="144"/>
        </w:trPr>
        <w:tc>
          <w:tcPr>
            <w:tcW w:w="7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tcPr>
          <w:p>
            <w:pPr>
              <w:jc w:val="center"/>
              <w:ind w:right="260"/>
              <w:spacing w:after="0" w:line="144" w:lineRule="exact"/>
              <w:rPr>
                <w:sz w:val="20"/>
                <w:szCs w:val="20"/>
                <w:color w:val="auto"/>
              </w:rPr>
            </w:pPr>
            <w:r>
              <w:rPr>
                <w:rFonts w:ascii="Arial" w:cs="Arial" w:eastAsia="Arial" w:hAnsi="Arial"/>
                <w:sz w:val="13"/>
                <w:szCs w:val="13"/>
                <w:b w:val="1"/>
                <w:bCs w:val="1"/>
                <w:color w:val="auto"/>
                <w:w w:val="96"/>
              </w:rPr>
              <w:t>March 31,</w:t>
            </w:r>
          </w:p>
        </w:tc>
        <w:tc>
          <w:tcPr>
            <w:tcW w:w="100" w:type="dxa"/>
            <w:vAlign w:val="bottom"/>
          </w:tcPr>
          <w:p>
            <w:pPr>
              <w:spacing w:after="0"/>
              <w:rPr>
                <w:sz w:val="12"/>
                <w:szCs w:val="12"/>
                <w:color w:val="auto"/>
              </w:rPr>
            </w:pPr>
          </w:p>
        </w:tc>
        <w:tc>
          <w:tcPr>
            <w:tcW w:w="980" w:type="dxa"/>
            <w:vAlign w:val="bottom"/>
            <w:gridSpan w:val="2"/>
          </w:tcPr>
          <w:p>
            <w:pPr>
              <w:jc w:val="center"/>
              <w:ind w:right="220"/>
              <w:spacing w:after="0" w:line="144" w:lineRule="exact"/>
              <w:rPr>
                <w:sz w:val="20"/>
                <w:szCs w:val="20"/>
                <w:color w:val="auto"/>
              </w:rPr>
            </w:pPr>
            <w:r>
              <w:rPr>
                <w:rFonts w:ascii="Arial" w:cs="Arial" w:eastAsia="Arial" w:hAnsi="Arial"/>
                <w:sz w:val="13"/>
                <w:szCs w:val="13"/>
                <w:b w:val="1"/>
                <w:bCs w:val="1"/>
                <w:color w:val="auto"/>
                <w:w w:val="89"/>
              </w:rPr>
              <w:t>December 31,</w:t>
            </w:r>
          </w:p>
        </w:tc>
        <w:tc>
          <w:tcPr>
            <w:tcW w:w="0" w:type="dxa"/>
            <w:vAlign w:val="bottom"/>
          </w:tcPr>
          <w:p>
            <w:pPr>
              <w:spacing w:after="0"/>
              <w:rPr>
                <w:sz w:val="1"/>
                <w:szCs w:val="1"/>
                <w:color w:val="auto"/>
              </w:rPr>
            </w:pPr>
          </w:p>
        </w:tc>
      </w:tr>
      <w:tr>
        <w:trPr>
          <w:trHeight w:val="157"/>
        </w:trPr>
        <w:tc>
          <w:tcPr>
            <w:tcW w:w="700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jc w:val="center"/>
              <w:ind w:right="16"/>
              <w:spacing w:after="0"/>
              <w:rPr>
                <w:sz w:val="20"/>
                <w:szCs w:val="20"/>
                <w:color w:val="auto"/>
              </w:rPr>
            </w:pPr>
            <w:r>
              <w:rPr>
                <w:rFonts w:ascii="Arial" w:cs="Arial" w:eastAsia="Arial" w:hAnsi="Arial"/>
                <w:sz w:val="13"/>
                <w:szCs w:val="13"/>
                <w:b w:val="1"/>
                <w:bCs w:val="1"/>
                <w:color w:val="auto"/>
                <w:w w:val="89"/>
              </w:rPr>
              <w:t>2016</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center"/>
              <w:ind w:right="16"/>
              <w:spacing w:after="0"/>
              <w:rPr>
                <w:sz w:val="20"/>
                <w:szCs w:val="20"/>
                <w:color w:val="auto"/>
              </w:rPr>
            </w:pPr>
            <w:r>
              <w:rPr>
                <w:rFonts w:ascii="Arial" w:cs="Arial" w:eastAsia="Arial" w:hAnsi="Arial"/>
                <w:sz w:val="13"/>
                <w:szCs w:val="13"/>
                <w:b w:val="1"/>
                <w:bCs w:val="1"/>
                <w:color w:val="auto"/>
                <w:w w:val="89"/>
              </w:rPr>
              <w:t>2015</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700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ASSETS</w:t>
            </w:r>
          </w:p>
        </w:tc>
        <w:tc>
          <w:tcPr>
            <w:tcW w:w="1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000" w:type="dxa"/>
            <w:vAlign w:val="bottom"/>
          </w:tcPr>
          <w:p>
            <w:pPr>
              <w:ind w:left="20"/>
              <w:spacing w:after="0"/>
              <w:rPr>
                <w:sz w:val="20"/>
                <w:szCs w:val="20"/>
                <w:color w:val="auto"/>
              </w:rPr>
            </w:pPr>
            <w:r>
              <w:rPr>
                <w:rFonts w:ascii="Arial" w:cs="Arial" w:eastAsia="Arial" w:hAnsi="Arial"/>
                <w:sz w:val="17"/>
                <w:szCs w:val="17"/>
                <w:color w:val="auto"/>
              </w:rPr>
              <w:t>Current assets:</w:t>
            </w: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Cash and cash equivalents</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162,746</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124,150</w:t>
            </w: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Short-term investments</w:t>
            </w:r>
          </w:p>
        </w:tc>
        <w:tc>
          <w:tcPr>
            <w:tcW w:w="120" w:type="dxa"/>
            <w:vAlign w:val="bottom"/>
          </w:tcPr>
          <w:p>
            <w:pPr>
              <w:spacing w:after="0"/>
              <w:rPr>
                <w:sz w:val="18"/>
                <w:szCs w:val="18"/>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5,209</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7,444</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Restricted cash</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675</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685</w:t>
            </w: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Trade receivables (note 5)</w:t>
            </w:r>
          </w:p>
        </w:tc>
        <w:tc>
          <w:tcPr>
            <w:tcW w:w="120" w:type="dxa"/>
            <w:vAlign w:val="bottom"/>
          </w:tcPr>
          <w:p>
            <w:pPr>
              <w:spacing w:after="0"/>
              <w:rPr>
                <w:sz w:val="18"/>
                <w:szCs w:val="18"/>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5,641</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7,714</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Inventories (note 6)</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435,447</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461,976</w:t>
            </w: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Income taxes recoverable</w:t>
            </w:r>
          </w:p>
        </w:tc>
        <w:tc>
          <w:tcPr>
            <w:tcW w:w="120" w:type="dxa"/>
            <w:vAlign w:val="bottom"/>
          </w:tcPr>
          <w:p>
            <w:pPr>
              <w:spacing w:after="0"/>
              <w:rPr>
                <w:sz w:val="18"/>
                <w:szCs w:val="18"/>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4,878</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817</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Available-for-sale securities (notes 5 and 7)</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66,350</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31,863</w:t>
            </w: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Fair value of derivative financial instruments (notes 5 and 12)</w:t>
            </w:r>
          </w:p>
        </w:tc>
        <w:tc>
          <w:tcPr>
            <w:tcW w:w="120" w:type="dxa"/>
            <w:vAlign w:val="bottom"/>
          </w:tcPr>
          <w:p>
            <w:pPr>
              <w:spacing w:after="0"/>
              <w:rPr>
                <w:sz w:val="18"/>
                <w:szCs w:val="18"/>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4,520</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87</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Other current assets</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186,850</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194,689</w:t>
            </w:r>
          </w:p>
        </w:tc>
        <w:tc>
          <w:tcPr>
            <w:tcW w:w="0" w:type="dxa"/>
            <w:vAlign w:val="bottom"/>
          </w:tcPr>
          <w:p>
            <w:pPr>
              <w:spacing w:after="0"/>
              <w:rPr>
                <w:sz w:val="1"/>
                <w:szCs w:val="1"/>
                <w:color w:val="auto"/>
              </w:rPr>
            </w:pPr>
          </w:p>
        </w:tc>
      </w:tr>
      <w:tr>
        <w:trPr>
          <w:trHeight w:val="26"/>
        </w:trPr>
        <w:tc>
          <w:tcPr>
            <w:tcW w:w="7000" w:type="dxa"/>
            <w:vAlign w:val="bottom"/>
            <w:vMerge w:val="restart"/>
          </w:tcPr>
          <w:p>
            <w:pPr>
              <w:ind w:left="20"/>
              <w:spacing w:after="0"/>
              <w:rPr>
                <w:sz w:val="20"/>
                <w:szCs w:val="20"/>
                <w:color w:val="auto"/>
              </w:rPr>
            </w:pPr>
            <w:r>
              <w:rPr>
                <w:rFonts w:ascii="Arial" w:cs="Arial" w:eastAsia="Arial" w:hAnsi="Arial"/>
                <w:sz w:val="17"/>
                <w:szCs w:val="17"/>
                <w:color w:val="auto"/>
              </w:rPr>
              <w:t>Total current assets</w:t>
            </w:r>
          </w:p>
        </w:tc>
        <w:tc>
          <w:tcPr>
            <w:tcW w:w="120" w:type="dxa"/>
            <w:vAlign w:val="bottom"/>
          </w:tcPr>
          <w:p>
            <w:pPr>
              <w:spacing w:after="0"/>
              <w:rPr>
                <w:sz w:val="2"/>
                <w:szCs w:val="2"/>
                <w:color w:val="auto"/>
              </w:rPr>
            </w:pPr>
          </w:p>
        </w:tc>
        <w:tc>
          <w:tcPr>
            <w:tcW w:w="9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7000" w:type="dxa"/>
            <w:vAlign w:val="bottom"/>
            <w:vMerge w:val="continue"/>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7"/>
                <w:szCs w:val="17"/>
                <w:b w:val="1"/>
                <w:bCs w:val="1"/>
                <w:color w:val="auto"/>
              </w:rPr>
              <w:t>872,316</w:t>
            </w:r>
          </w:p>
        </w:tc>
        <w:tc>
          <w:tcPr>
            <w:tcW w:w="16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829,425</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20"/>
              <w:spacing w:after="0"/>
              <w:rPr>
                <w:sz w:val="20"/>
                <w:szCs w:val="20"/>
                <w:color w:val="auto"/>
              </w:rPr>
            </w:pPr>
            <w:r>
              <w:rPr>
                <w:rFonts w:ascii="Arial" w:cs="Arial" w:eastAsia="Arial" w:hAnsi="Arial"/>
                <w:sz w:val="17"/>
                <w:szCs w:val="17"/>
                <w:color w:val="auto"/>
              </w:rPr>
              <w:t>Non-current assets:</w:t>
            </w: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Restricted cash</w:t>
            </w:r>
          </w:p>
        </w:tc>
        <w:tc>
          <w:tcPr>
            <w:tcW w:w="120" w:type="dxa"/>
            <w:vAlign w:val="bottom"/>
          </w:tcPr>
          <w:p>
            <w:pPr>
              <w:spacing w:after="0"/>
              <w:rPr>
                <w:sz w:val="18"/>
                <w:szCs w:val="18"/>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791</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741</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Goodwill</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696,809</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696,809</w:t>
            </w: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Property, plant and mine development (note 8)</w:t>
            </w:r>
          </w:p>
        </w:tc>
        <w:tc>
          <w:tcPr>
            <w:tcW w:w="120" w:type="dxa"/>
            <w:vAlign w:val="bottom"/>
          </w:tcPr>
          <w:p>
            <w:pPr>
              <w:spacing w:after="0"/>
              <w:rPr>
                <w:sz w:val="18"/>
                <w:szCs w:val="18"/>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5,069,152</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5,088,967</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Other assets</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77,496</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67,238</w:t>
            </w:r>
          </w:p>
        </w:tc>
        <w:tc>
          <w:tcPr>
            <w:tcW w:w="0" w:type="dxa"/>
            <w:vAlign w:val="bottom"/>
          </w:tcPr>
          <w:p>
            <w:pPr>
              <w:spacing w:after="0"/>
              <w:rPr>
                <w:sz w:val="1"/>
                <w:szCs w:val="1"/>
                <w:color w:val="auto"/>
              </w:rPr>
            </w:pPr>
          </w:p>
        </w:tc>
      </w:tr>
      <w:tr>
        <w:trPr>
          <w:trHeight w:val="26"/>
        </w:trPr>
        <w:tc>
          <w:tcPr>
            <w:tcW w:w="7000" w:type="dxa"/>
            <w:vAlign w:val="bottom"/>
            <w:vMerge w:val="restart"/>
          </w:tcPr>
          <w:p>
            <w:pPr>
              <w:ind w:left="20"/>
              <w:spacing w:after="0"/>
              <w:rPr>
                <w:sz w:val="20"/>
                <w:szCs w:val="20"/>
                <w:color w:val="auto"/>
              </w:rPr>
            </w:pPr>
            <w:r>
              <w:rPr>
                <w:rFonts w:ascii="Arial" w:cs="Arial" w:eastAsia="Arial" w:hAnsi="Arial"/>
                <w:sz w:val="17"/>
                <w:szCs w:val="17"/>
                <w:color w:val="auto"/>
              </w:rPr>
              <w:t>Total assets</w:t>
            </w:r>
          </w:p>
        </w:tc>
        <w:tc>
          <w:tcPr>
            <w:tcW w:w="120" w:type="dxa"/>
            <w:vAlign w:val="bottom"/>
          </w:tcPr>
          <w:p>
            <w:pPr>
              <w:spacing w:after="0"/>
              <w:rPr>
                <w:sz w:val="2"/>
                <w:szCs w:val="2"/>
                <w:color w:val="auto"/>
              </w:rPr>
            </w:pPr>
          </w:p>
        </w:tc>
        <w:tc>
          <w:tcPr>
            <w:tcW w:w="9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7000" w:type="dxa"/>
            <w:vAlign w:val="bottom"/>
            <w:vMerge w:val="continue"/>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97"/>
              </w:rPr>
              <w:t>6,716,564</w:t>
            </w:r>
          </w:p>
        </w:tc>
        <w:tc>
          <w:tcPr>
            <w:tcW w:w="16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6,683,180</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0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6"/>
        </w:trPr>
        <w:tc>
          <w:tcPr>
            <w:tcW w:w="700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LIABILITIES AND EQUITY</w:t>
            </w:r>
          </w:p>
        </w:tc>
        <w:tc>
          <w:tcPr>
            <w:tcW w:w="12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7000" w:type="dxa"/>
            <w:vAlign w:val="bottom"/>
          </w:tcPr>
          <w:p>
            <w:pPr>
              <w:ind w:left="20"/>
              <w:spacing w:after="0"/>
              <w:rPr>
                <w:sz w:val="20"/>
                <w:szCs w:val="20"/>
                <w:color w:val="auto"/>
              </w:rPr>
            </w:pPr>
            <w:r>
              <w:rPr>
                <w:rFonts w:ascii="Arial" w:cs="Arial" w:eastAsia="Arial" w:hAnsi="Arial"/>
                <w:sz w:val="17"/>
                <w:szCs w:val="17"/>
                <w:color w:val="auto"/>
              </w:rPr>
              <w:t>Current liabilities:</w:t>
            </w: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Accounts payable and accrued liabilities</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202,158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243,786</w:t>
            </w: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Reclamation provision</w:t>
            </w:r>
          </w:p>
        </w:tc>
        <w:tc>
          <w:tcPr>
            <w:tcW w:w="120" w:type="dxa"/>
            <w:vAlign w:val="bottom"/>
          </w:tcPr>
          <w:p>
            <w:pPr>
              <w:spacing w:after="0"/>
              <w:rPr>
                <w:sz w:val="18"/>
                <w:szCs w:val="18"/>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6,795</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6,245</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Interest payable</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22,107</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14,526</w:t>
            </w: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Income taxes payable</w:t>
            </w:r>
          </w:p>
        </w:tc>
        <w:tc>
          <w:tcPr>
            <w:tcW w:w="120" w:type="dxa"/>
            <w:vAlign w:val="bottom"/>
          </w:tcPr>
          <w:p>
            <w:pPr>
              <w:spacing w:after="0"/>
              <w:rPr>
                <w:sz w:val="18"/>
                <w:szCs w:val="18"/>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5,189</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14,852</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Finance lease obligations</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8,567</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9,589</w:t>
            </w: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Current portion of long-term debt (note 9)</w:t>
            </w:r>
          </w:p>
        </w:tc>
        <w:tc>
          <w:tcPr>
            <w:tcW w:w="120" w:type="dxa"/>
            <w:vAlign w:val="bottom"/>
          </w:tcPr>
          <w:p>
            <w:pPr>
              <w:spacing w:after="0"/>
              <w:rPr>
                <w:sz w:val="18"/>
                <w:szCs w:val="18"/>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15,419</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14,451</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Fair value of derivative financial instruments (notes 5 and 12)</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1,709</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8,073</w:t>
            </w:r>
          </w:p>
        </w:tc>
        <w:tc>
          <w:tcPr>
            <w:tcW w:w="0" w:type="dxa"/>
            <w:vAlign w:val="bottom"/>
          </w:tcPr>
          <w:p>
            <w:pPr>
              <w:spacing w:after="0"/>
              <w:rPr>
                <w:sz w:val="1"/>
                <w:szCs w:val="1"/>
                <w:color w:val="auto"/>
              </w:rPr>
            </w:pPr>
          </w:p>
        </w:tc>
      </w:tr>
      <w:tr>
        <w:trPr>
          <w:trHeight w:val="26"/>
        </w:trPr>
        <w:tc>
          <w:tcPr>
            <w:tcW w:w="7000" w:type="dxa"/>
            <w:vAlign w:val="bottom"/>
            <w:vMerge w:val="restart"/>
          </w:tcPr>
          <w:p>
            <w:pPr>
              <w:ind w:left="20"/>
              <w:spacing w:after="0"/>
              <w:rPr>
                <w:sz w:val="20"/>
                <w:szCs w:val="20"/>
                <w:color w:val="auto"/>
              </w:rPr>
            </w:pPr>
            <w:r>
              <w:rPr>
                <w:rFonts w:ascii="Arial" w:cs="Arial" w:eastAsia="Arial" w:hAnsi="Arial"/>
                <w:sz w:val="17"/>
                <w:szCs w:val="17"/>
                <w:color w:val="auto"/>
              </w:rPr>
              <w:t>Total current liabilities</w:t>
            </w:r>
          </w:p>
        </w:tc>
        <w:tc>
          <w:tcPr>
            <w:tcW w:w="120" w:type="dxa"/>
            <w:vAlign w:val="bottom"/>
          </w:tcPr>
          <w:p>
            <w:pPr>
              <w:spacing w:after="0"/>
              <w:rPr>
                <w:sz w:val="2"/>
                <w:szCs w:val="2"/>
                <w:color w:val="auto"/>
              </w:rPr>
            </w:pPr>
          </w:p>
        </w:tc>
        <w:tc>
          <w:tcPr>
            <w:tcW w:w="9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7000" w:type="dxa"/>
            <w:vAlign w:val="bottom"/>
            <w:vMerge w:val="continue"/>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261,944</w:t>
            </w:r>
          </w:p>
        </w:tc>
        <w:tc>
          <w:tcPr>
            <w:tcW w:w="1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311,522</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20"/>
              <w:spacing w:after="0"/>
              <w:rPr>
                <w:sz w:val="20"/>
                <w:szCs w:val="20"/>
                <w:color w:val="auto"/>
              </w:rPr>
            </w:pPr>
            <w:r>
              <w:rPr>
                <w:rFonts w:ascii="Arial" w:cs="Arial" w:eastAsia="Arial" w:hAnsi="Arial"/>
                <w:sz w:val="17"/>
                <w:szCs w:val="17"/>
                <w:color w:val="auto"/>
              </w:rPr>
              <w:t>Non-current liabilities:</w:t>
            </w: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Long-term debt (note 9)</w:t>
            </w:r>
          </w:p>
        </w:tc>
        <w:tc>
          <w:tcPr>
            <w:tcW w:w="120" w:type="dxa"/>
            <w:vAlign w:val="bottom"/>
          </w:tcPr>
          <w:p>
            <w:pPr>
              <w:spacing w:after="0"/>
              <w:rPr>
                <w:sz w:val="18"/>
                <w:szCs w:val="18"/>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1,064,750</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1,118,187</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Reclamation provision</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311,069</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276,299</w:t>
            </w: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Deferred income and mining tax liabilities</w:t>
            </w:r>
          </w:p>
        </w:tc>
        <w:tc>
          <w:tcPr>
            <w:tcW w:w="120" w:type="dxa"/>
            <w:vAlign w:val="bottom"/>
          </w:tcPr>
          <w:p>
            <w:pPr>
              <w:spacing w:after="0"/>
              <w:rPr>
                <w:sz w:val="18"/>
                <w:szCs w:val="18"/>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789,437</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802,114</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Other liabilities</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34,250</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34,038</w:t>
            </w:r>
          </w:p>
        </w:tc>
        <w:tc>
          <w:tcPr>
            <w:tcW w:w="0" w:type="dxa"/>
            <w:vAlign w:val="bottom"/>
          </w:tcPr>
          <w:p>
            <w:pPr>
              <w:spacing w:after="0"/>
              <w:rPr>
                <w:sz w:val="1"/>
                <w:szCs w:val="1"/>
                <w:color w:val="auto"/>
              </w:rPr>
            </w:pPr>
          </w:p>
        </w:tc>
      </w:tr>
      <w:tr>
        <w:trPr>
          <w:trHeight w:val="26"/>
        </w:trPr>
        <w:tc>
          <w:tcPr>
            <w:tcW w:w="7000" w:type="dxa"/>
            <w:vAlign w:val="bottom"/>
            <w:vMerge w:val="restart"/>
          </w:tcPr>
          <w:p>
            <w:pPr>
              <w:ind w:left="20"/>
              <w:spacing w:after="0"/>
              <w:rPr>
                <w:sz w:val="20"/>
                <w:szCs w:val="20"/>
                <w:color w:val="auto"/>
              </w:rPr>
            </w:pPr>
            <w:r>
              <w:rPr>
                <w:rFonts w:ascii="Arial" w:cs="Arial" w:eastAsia="Arial" w:hAnsi="Arial"/>
                <w:sz w:val="17"/>
                <w:szCs w:val="17"/>
                <w:color w:val="auto"/>
              </w:rPr>
              <w:t>Total liabilities</w:t>
            </w:r>
          </w:p>
        </w:tc>
        <w:tc>
          <w:tcPr>
            <w:tcW w:w="120" w:type="dxa"/>
            <w:vAlign w:val="bottom"/>
          </w:tcPr>
          <w:p>
            <w:pPr>
              <w:spacing w:after="0"/>
              <w:rPr>
                <w:sz w:val="2"/>
                <w:szCs w:val="2"/>
                <w:color w:val="auto"/>
              </w:rPr>
            </w:pPr>
          </w:p>
        </w:tc>
        <w:tc>
          <w:tcPr>
            <w:tcW w:w="9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7000" w:type="dxa"/>
            <w:vAlign w:val="bottom"/>
            <w:vMerge w:val="continue"/>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97"/>
              </w:rPr>
              <w:t>2,461,450</w:t>
            </w:r>
          </w:p>
        </w:tc>
        <w:tc>
          <w:tcPr>
            <w:tcW w:w="1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2,542,160</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9"/>
        </w:trPr>
        <w:tc>
          <w:tcPr>
            <w:tcW w:w="700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EQUITY</w:t>
            </w:r>
          </w:p>
        </w:tc>
        <w:tc>
          <w:tcPr>
            <w:tcW w:w="12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Common shares (note 10):</w:t>
            </w: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360"/>
              <w:spacing w:after="0"/>
              <w:rPr>
                <w:sz w:val="20"/>
                <w:szCs w:val="20"/>
                <w:color w:val="auto"/>
              </w:rPr>
            </w:pPr>
            <w:r>
              <w:rPr>
                <w:rFonts w:ascii="Arial" w:cs="Arial" w:eastAsia="Arial" w:hAnsi="Arial"/>
                <w:sz w:val="17"/>
                <w:szCs w:val="17"/>
                <w:color w:val="auto"/>
              </w:rPr>
              <w:t>Outstanding — 221,281,167 common shares issued, less 802,915 shares held in trust</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4,799,138</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4,707,940</w:t>
            </w: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Stock options (notes 10 and 11)</w:t>
            </w:r>
          </w:p>
        </w:tc>
        <w:tc>
          <w:tcPr>
            <w:tcW w:w="120" w:type="dxa"/>
            <w:vAlign w:val="bottom"/>
          </w:tcPr>
          <w:p>
            <w:pPr>
              <w:spacing w:after="0"/>
              <w:rPr>
                <w:sz w:val="18"/>
                <w:szCs w:val="18"/>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203,582</w:t>
            </w:r>
          </w:p>
        </w:tc>
        <w:tc>
          <w:tcPr>
            <w:tcW w:w="1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7"/>
                <w:szCs w:val="17"/>
                <w:color w:val="auto"/>
              </w:rPr>
              <w:t>216,232</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Contributed surplus</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37,254</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37,254</w:t>
            </w:r>
          </w:p>
        </w:tc>
        <w:tc>
          <w:tcPr>
            <w:tcW w:w="0" w:type="dxa"/>
            <w:vAlign w:val="bottom"/>
          </w:tcPr>
          <w:p>
            <w:pPr>
              <w:spacing w:after="0"/>
              <w:rPr>
                <w:sz w:val="1"/>
                <w:szCs w:val="1"/>
                <w:color w:val="auto"/>
              </w:rPr>
            </w:pPr>
          </w:p>
        </w:tc>
      </w:tr>
      <w:tr>
        <w:trPr>
          <w:trHeight w:val="210"/>
        </w:trPr>
        <w:tc>
          <w:tcPr>
            <w:tcW w:w="7000" w:type="dxa"/>
            <w:vAlign w:val="bottom"/>
          </w:tcPr>
          <w:p>
            <w:pPr>
              <w:ind w:left="180"/>
              <w:spacing w:after="0"/>
              <w:rPr>
                <w:sz w:val="20"/>
                <w:szCs w:val="20"/>
                <w:color w:val="auto"/>
              </w:rPr>
            </w:pPr>
            <w:r>
              <w:rPr>
                <w:rFonts w:ascii="Arial" w:cs="Arial" w:eastAsia="Arial" w:hAnsi="Arial"/>
                <w:sz w:val="17"/>
                <w:szCs w:val="17"/>
                <w:color w:val="auto"/>
              </w:rPr>
              <w:t>Deficit</w:t>
            </w:r>
          </w:p>
        </w:tc>
        <w:tc>
          <w:tcPr>
            <w:tcW w:w="1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7"/>
                <w:szCs w:val="17"/>
                <w:b w:val="1"/>
                <w:bCs w:val="1"/>
                <w:color w:val="auto"/>
              </w:rPr>
              <w:t>(813,517)</w:t>
            </w:r>
          </w:p>
        </w:tc>
        <w:tc>
          <w:tcPr>
            <w:tcW w:w="10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7"/>
                <w:szCs w:val="17"/>
                <w:color w:val="auto"/>
              </w:rPr>
              <w:t>(823,734)</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80"/>
              <w:spacing w:after="0"/>
              <w:rPr>
                <w:sz w:val="20"/>
                <w:szCs w:val="20"/>
                <w:color w:val="auto"/>
              </w:rPr>
            </w:pPr>
            <w:r>
              <w:rPr>
                <w:rFonts w:ascii="Arial" w:cs="Arial" w:eastAsia="Arial" w:hAnsi="Arial"/>
                <w:sz w:val="17"/>
                <w:szCs w:val="17"/>
                <w:color w:val="auto"/>
              </w:rPr>
              <w:t>Accumulated other comprehensive income</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28,657</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3,328</w:t>
            </w:r>
          </w:p>
        </w:tc>
        <w:tc>
          <w:tcPr>
            <w:tcW w:w="0" w:type="dxa"/>
            <w:vAlign w:val="bottom"/>
          </w:tcPr>
          <w:p>
            <w:pPr>
              <w:spacing w:after="0"/>
              <w:rPr>
                <w:sz w:val="1"/>
                <w:szCs w:val="1"/>
                <w:color w:val="auto"/>
              </w:rPr>
            </w:pPr>
          </w:p>
        </w:tc>
      </w:tr>
      <w:tr>
        <w:trPr>
          <w:trHeight w:val="26"/>
        </w:trPr>
        <w:tc>
          <w:tcPr>
            <w:tcW w:w="7000" w:type="dxa"/>
            <w:vAlign w:val="bottom"/>
            <w:vMerge w:val="restart"/>
          </w:tcPr>
          <w:p>
            <w:pPr>
              <w:ind w:left="20"/>
              <w:spacing w:after="0"/>
              <w:rPr>
                <w:sz w:val="20"/>
                <w:szCs w:val="20"/>
                <w:color w:val="auto"/>
              </w:rPr>
            </w:pPr>
            <w:r>
              <w:rPr>
                <w:rFonts w:ascii="Arial" w:cs="Arial" w:eastAsia="Arial" w:hAnsi="Arial"/>
                <w:sz w:val="17"/>
                <w:szCs w:val="17"/>
                <w:color w:val="auto"/>
              </w:rPr>
              <w:t>Total equity</w:t>
            </w:r>
          </w:p>
        </w:tc>
        <w:tc>
          <w:tcPr>
            <w:tcW w:w="120" w:type="dxa"/>
            <w:vAlign w:val="bottom"/>
          </w:tcPr>
          <w:p>
            <w:pPr>
              <w:spacing w:after="0"/>
              <w:rPr>
                <w:sz w:val="2"/>
                <w:szCs w:val="2"/>
                <w:color w:val="auto"/>
              </w:rPr>
            </w:pPr>
          </w:p>
        </w:tc>
        <w:tc>
          <w:tcPr>
            <w:tcW w:w="9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7000" w:type="dxa"/>
            <w:vAlign w:val="bottom"/>
            <w:vMerge w:val="continue"/>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97"/>
              </w:rPr>
              <w:t>4,255,114</w:t>
            </w:r>
          </w:p>
        </w:tc>
        <w:tc>
          <w:tcPr>
            <w:tcW w:w="1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4,141,020</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liabilities and equity</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6,716,564</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98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6,683,180</w:t>
            </w:r>
          </w:p>
        </w:tc>
        <w:tc>
          <w:tcPr>
            <w:tcW w:w="0" w:type="dxa"/>
            <w:vAlign w:val="bottom"/>
          </w:tcPr>
          <w:p>
            <w:pPr>
              <w:spacing w:after="0"/>
              <w:rPr>
                <w:sz w:val="1"/>
                <w:szCs w:val="1"/>
                <w:color w:val="auto"/>
              </w:rPr>
            </w:pPr>
          </w:p>
        </w:tc>
      </w:tr>
      <w:tr>
        <w:trPr>
          <w:trHeight w:val="26"/>
        </w:trPr>
        <w:tc>
          <w:tcPr>
            <w:tcW w:w="7000" w:type="dxa"/>
            <w:vAlign w:val="bottom"/>
            <w:vMerge w:val="restart"/>
          </w:tcPr>
          <w:p>
            <w:pPr>
              <w:ind w:left="20"/>
              <w:spacing w:after="0"/>
              <w:rPr>
                <w:sz w:val="20"/>
                <w:szCs w:val="20"/>
                <w:color w:val="auto"/>
              </w:rPr>
            </w:pPr>
            <w:r>
              <w:rPr>
                <w:rFonts w:ascii="Arial" w:cs="Arial" w:eastAsia="Arial" w:hAnsi="Arial"/>
                <w:sz w:val="17"/>
                <w:szCs w:val="17"/>
                <w:color w:val="auto"/>
              </w:rPr>
              <w:t>Commitments and contingencies (note 14)</w:t>
            </w:r>
          </w:p>
        </w:tc>
        <w:tc>
          <w:tcPr>
            <w:tcW w:w="1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000" w:type="dxa"/>
            <w:vAlign w:val="bottom"/>
            <w:vMerge w:val="continue"/>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7"/>
        </w:trPr>
        <w:tc>
          <w:tcPr>
            <w:tcW w:w="70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bl>
    <w:p>
      <w:pPr>
        <w:spacing w:after="0" w:line="204" w:lineRule="exact"/>
        <w:rPr>
          <w:sz w:val="20"/>
          <w:szCs w:val="20"/>
          <w:color w:val="auto"/>
        </w:rPr>
      </w:pPr>
    </w:p>
    <w:p>
      <w:pPr>
        <w:jc w:val="center"/>
        <w:ind w:right="-19"/>
        <w:spacing w:after="0"/>
        <w:rPr>
          <w:sz w:val="20"/>
          <w:szCs w:val="20"/>
          <w:color w:val="auto"/>
        </w:rPr>
      </w:pPr>
      <w:r>
        <w:rPr>
          <w:rFonts w:ascii="Arial" w:cs="Arial" w:eastAsia="Arial" w:hAnsi="Arial"/>
          <w:sz w:val="17"/>
          <w:szCs w:val="17"/>
          <w:i w:val="1"/>
          <w:iCs w:val="1"/>
          <w:color w:val="auto"/>
        </w:rPr>
        <w:t>See accompanying notes</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120"/>
          </w:cols>
          <w:pgMar w:left="1380" w:top="337" w:right="1399" w:bottom="1440" w:gutter="0" w:footer="0" w:header="0"/>
        </w:sectPr>
      </w:pPr>
    </w:p>
    <w:bookmarkStart w:id="30" w:name="page31"/>
    <w:bookmarkEnd w:id="30"/>
    <w:p>
      <w:pPr>
        <w:jc w:val="center"/>
        <w:ind w:right="-19"/>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CONDENSED INTERIM CONSOLIDATED STATEMENTS OF INCOME AND</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COMPREHENSIVE INCOME</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(thousands of United States dollars, except per share amounts)</w:t>
      </w:r>
    </w:p>
    <w:p>
      <w:pPr>
        <w:spacing w:after="0" w:line="14"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(Unaudited)</w:t>
      </w:r>
    </w:p>
    <w:p>
      <w:pPr>
        <w:spacing w:after="0" w:line="214" w:lineRule="exact"/>
        <w:rPr>
          <w:sz w:val="20"/>
          <w:szCs w:val="20"/>
          <w:color w:val="auto"/>
        </w:rPr>
      </w:pPr>
    </w:p>
    <w:p>
      <w:pPr>
        <w:jc w:val="center"/>
        <w:ind w:left="7140"/>
        <w:spacing w:after="0"/>
        <w:rPr>
          <w:sz w:val="20"/>
          <w:szCs w:val="20"/>
          <w:color w:val="auto"/>
        </w:rPr>
      </w:pPr>
      <w:r>
        <w:rPr>
          <w:rFonts w:ascii="Arial" w:cs="Arial" w:eastAsia="Arial" w:hAnsi="Arial"/>
          <w:sz w:val="13"/>
          <w:szCs w:val="13"/>
          <w:b w:val="1"/>
          <w:bCs w:val="1"/>
          <w:color w:val="auto"/>
        </w:rPr>
        <w:t>Three Months Ended</w:t>
      </w:r>
    </w:p>
    <w:p>
      <w:pPr>
        <w:spacing w:after="0" w:line="9" w:lineRule="exact"/>
        <w:rPr>
          <w:sz w:val="20"/>
          <w:szCs w:val="20"/>
          <w:color w:val="auto"/>
        </w:rPr>
      </w:pPr>
    </w:p>
    <w:p>
      <w:pPr>
        <w:jc w:val="center"/>
        <w:ind w:left="7140"/>
        <w:spacing w:after="0"/>
        <w:rPr>
          <w:sz w:val="20"/>
          <w:szCs w:val="20"/>
          <w:color w:val="auto"/>
        </w:rPr>
      </w:pPr>
      <w:r>
        <w:rPr>
          <w:rFonts w:ascii="Arial" w:cs="Arial" w:eastAsia="Arial" w:hAnsi="Arial"/>
          <w:sz w:val="13"/>
          <w:szCs w:val="13"/>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4631690</wp:posOffset>
            </wp:positionH>
            <wp:positionV relativeFrom="paragraph">
              <wp:posOffset>-3175</wp:posOffset>
            </wp:positionV>
            <wp:extent cx="1065530"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1065530" cy="8255"/>
                    </a:xfrm>
                    <a:prstGeom prst="rect">
                      <a:avLst/>
                    </a:prstGeom>
                    <a:noFill/>
                  </pic:spPr>
                </pic:pic>
              </a:graphicData>
            </a:graphic>
          </wp:anchor>
        </w:drawing>
      </w:r>
    </w:p>
    <w:p>
      <w:pPr>
        <w:spacing w:after="0" w:line="26" w:lineRule="exact"/>
        <w:rPr>
          <w:sz w:val="20"/>
          <w:szCs w:val="20"/>
          <w:color w:val="auto"/>
        </w:rPr>
      </w:pPr>
    </w:p>
    <w:tbl>
      <w:tblPr>
        <w:tblLayout w:type="fixed"/>
        <w:tblInd w:w="0" w:type="dxa"/>
        <w:tblCellMar>
          <w:top w:w="0" w:type="dxa"/>
          <w:left w:w="0" w:type="dxa"/>
          <w:bottom w:w="0" w:type="dxa"/>
          <w:right w:w="0" w:type="dxa"/>
        </w:tblCellMar>
      </w:tblPr>
      <w:tr>
        <w:trPr>
          <w:trHeight w:val="157"/>
        </w:trPr>
        <w:tc>
          <w:tcPr>
            <w:tcW w:w="1140" w:type="dxa"/>
            <w:vAlign w:val="bottom"/>
          </w:tcPr>
          <w:p>
            <w:pPr>
              <w:spacing w:after="0"/>
              <w:rPr>
                <w:sz w:val="13"/>
                <w:szCs w:val="13"/>
                <w:color w:val="auto"/>
              </w:rPr>
            </w:pPr>
          </w:p>
        </w:tc>
        <w:tc>
          <w:tcPr>
            <w:tcW w:w="616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jc w:val="right"/>
              <w:ind w:right="155"/>
              <w:spacing w:after="0"/>
              <w:rPr>
                <w:sz w:val="20"/>
                <w:szCs w:val="20"/>
                <w:color w:val="auto"/>
              </w:rPr>
            </w:pPr>
            <w:r>
              <w:rPr>
                <w:rFonts w:ascii="Arial" w:cs="Arial" w:eastAsia="Arial" w:hAnsi="Arial"/>
                <w:sz w:val="13"/>
                <w:szCs w:val="13"/>
                <w:b w:val="1"/>
                <w:bCs w:val="1"/>
                <w:color w:val="auto"/>
              </w:rPr>
              <w:t>2016</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jc w:val="right"/>
              <w:ind w:right="175"/>
              <w:spacing w:after="0"/>
              <w:rPr>
                <w:sz w:val="20"/>
                <w:szCs w:val="20"/>
                <w:color w:val="auto"/>
              </w:rPr>
            </w:pPr>
            <w:r>
              <w:rPr>
                <w:rFonts w:ascii="Arial" w:cs="Arial" w:eastAsia="Arial" w:hAnsi="Arial"/>
                <w:sz w:val="13"/>
                <w:szCs w:val="13"/>
                <w:b w:val="1"/>
                <w:bCs w:val="1"/>
                <w:color w:val="auto"/>
              </w:rPr>
              <w:t>2015</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7300" w:type="dxa"/>
            <w:vAlign w:val="bottom"/>
            <w:gridSpan w:val="2"/>
            <w:shd w:val="clear" w:color="auto" w:fill="CCEEFF"/>
          </w:tcPr>
          <w:p>
            <w:pPr>
              <w:ind w:left="20"/>
              <w:spacing w:after="0"/>
              <w:rPr>
                <w:sz w:val="20"/>
                <w:szCs w:val="20"/>
                <w:color w:val="auto"/>
              </w:rPr>
            </w:pPr>
            <w:r>
              <w:rPr>
                <w:rFonts w:ascii="Arial" w:cs="Arial" w:eastAsia="Arial" w:hAnsi="Arial"/>
                <w:sz w:val="17"/>
                <w:szCs w:val="17"/>
                <w:b w:val="1"/>
                <w:bCs w:val="1"/>
                <w:color w:val="auto"/>
              </w:rPr>
              <w:t>REVENUES</w:t>
            </w:r>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300" w:type="dxa"/>
            <w:vAlign w:val="bottom"/>
            <w:gridSpan w:val="2"/>
          </w:tcPr>
          <w:p>
            <w:pPr>
              <w:ind w:left="20"/>
              <w:spacing w:after="0"/>
              <w:rPr>
                <w:sz w:val="20"/>
                <w:szCs w:val="20"/>
                <w:color w:val="auto"/>
              </w:rPr>
            </w:pPr>
            <w:r>
              <w:rPr>
                <w:rFonts w:ascii="Arial" w:cs="Arial" w:eastAsia="Arial" w:hAnsi="Arial"/>
                <w:sz w:val="17"/>
                <w:szCs w:val="17"/>
                <w:color w:val="auto"/>
              </w:rPr>
              <w:t>Revenues from mining operations</w:t>
            </w:r>
          </w:p>
        </w:tc>
        <w:tc>
          <w:tcPr>
            <w:tcW w:w="14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640" w:type="dxa"/>
            <w:vAlign w:val="bottom"/>
            <w:gridSpan w:val="2"/>
          </w:tcPr>
          <w:p>
            <w:pPr>
              <w:jc w:val="right"/>
              <w:ind w:right="20"/>
              <w:spacing w:after="0"/>
              <w:rPr>
                <w:sz w:val="20"/>
                <w:szCs w:val="20"/>
                <w:color w:val="auto"/>
              </w:rPr>
            </w:pPr>
            <w:r>
              <w:rPr>
                <w:rFonts w:ascii="Arial" w:cs="Arial" w:eastAsia="Arial" w:hAnsi="Arial"/>
                <w:sz w:val="17"/>
                <w:szCs w:val="17"/>
                <w:b w:val="1"/>
                <w:bCs w:val="1"/>
                <w:color w:val="auto"/>
                <w:w w:val="97"/>
              </w:rPr>
              <w:t>490,531</w:t>
            </w:r>
          </w:p>
        </w:tc>
        <w:tc>
          <w:tcPr>
            <w:tcW w:w="14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w w:val="97"/>
              </w:rPr>
              <w:t>483,596</w:t>
            </w:r>
          </w:p>
        </w:tc>
        <w:tc>
          <w:tcPr>
            <w:tcW w:w="0" w:type="dxa"/>
            <w:vAlign w:val="bottom"/>
          </w:tcPr>
          <w:p>
            <w:pPr>
              <w:spacing w:after="0"/>
              <w:rPr>
                <w:sz w:val="1"/>
                <w:szCs w:val="1"/>
                <w:color w:val="auto"/>
              </w:rPr>
            </w:pPr>
          </w:p>
        </w:tc>
      </w:tr>
      <w:tr>
        <w:trPr>
          <w:trHeight w:val="419"/>
        </w:trPr>
        <w:tc>
          <w:tcPr>
            <w:tcW w:w="7300" w:type="dxa"/>
            <w:vAlign w:val="bottom"/>
            <w:gridSpan w:val="2"/>
            <w:shd w:val="clear" w:color="auto" w:fill="CCEEFF"/>
          </w:tcPr>
          <w:p>
            <w:pPr>
              <w:ind w:left="20"/>
              <w:spacing w:after="0"/>
              <w:rPr>
                <w:sz w:val="20"/>
                <w:szCs w:val="20"/>
                <w:color w:val="auto"/>
              </w:rPr>
            </w:pPr>
            <w:r>
              <w:rPr>
                <w:rFonts w:ascii="Arial" w:cs="Arial" w:eastAsia="Arial" w:hAnsi="Arial"/>
                <w:sz w:val="17"/>
                <w:szCs w:val="17"/>
                <w:b w:val="1"/>
                <w:bCs w:val="1"/>
                <w:color w:val="auto"/>
              </w:rPr>
              <w:t>COSTS, EXPENSES AND OTHER INCOME</w:t>
            </w:r>
          </w:p>
        </w:tc>
        <w:tc>
          <w:tcPr>
            <w:tcW w:w="14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7300" w:type="dxa"/>
            <w:vAlign w:val="bottom"/>
            <w:gridSpan w:val="2"/>
          </w:tcPr>
          <w:p>
            <w:pPr>
              <w:ind w:left="20"/>
              <w:spacing w:after="0" w:line="249" w:lineRule="exact"/>
              <w:rPr>
                <w:sz w:val="20"/>
                <w:szCs w:val="20"/>
                <w:color w:val="auto"/>
              </w:rPr>
            </w:pPr>
            <w:r>
              <w:rPr>
                <w:rFonts w:ascii="Arial" w:cs="Arial" w:eastAsia="Arial" w:hAnsi="Arial"/>
                <w:sz w:val="17"/>
                <w:szCs w:val="17"/>
                <w:color w:val="auto"/>
              </w:rPr>
              <w:t>Production</w:t>
            </w:r>
            <w:r>
              <w:rPr>
                <w:rFonts w:ascii="Arial" w:cs="Arial" w:eastAsia="Arial" w:hAnsi="Arial"/>
                <w:sz w:val="28"/>
                <w:szCs w:val="28"/>
                <w:color w:val="auto"/>
                <w:vertAlign w:val="superscript"/>
              </w:rPr>
              <w:t>(i)</w:t>
            </w:r>
          </w:p>
        </w:tc>
        <w:tc>
          <w:tcPr>
            <w:tcW w:w="140" w:type="dxa"/>
            <w:vAlign w:val="bottom"/>
          </w:tcPr>
          <w:p>
            <w:pPr>
              <w:spacing w:after="0"/>
              <w:rPr>
                <w:sz w:val="21"/>
                <w:szCs w:val="21"/>
                <w:color w:val="auto"/>
              </w:rPr>
            </w:pPr>
          </w:p>
        </w:tc>
        <w:tc>
          <w:tcPr>
            <w:tcW w:w="640" w:type="dxa"/>
            <w:vAlign w:val="bottom"/>
            <w:gridSpan w:val="2"/>
          </w:tcPr>
          <w:p>
            <w:pPr>
              <w:jc w:val="right"/>
              <w:ind w:right="20"/>
              <w:spacing w:after="0"/>
              <w:rPr>
                <w:sz w:val="20"/>
                <w:szCs w:val="20"/>
                <w:color w:val="auto"/>
              </w:rPr>
            </w:pPr>
            <w:r>
              <w:rPr>
                <w:rFonts w:ascii="Arial" w:cs="Arial" w:eastAsia="Arial" w:hAnsi="Arial"/>
                <w:sz w:val="17"/>
                <w:szCs w:val="17"/>
                <w:b w:val="1"/>
                <w:bCs w:val="1"/>
                <w:color w:val="auto"/>
                <w:w w:val="97"/>
              </w:rPr>
              <w:t>243,973</w:t>
            </w:r>
          </w:p>
        </w:tc>
        <w:tc>
          <w:tcPr>
            <w:tcW w:w="1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w w:val="97"/>
              </w:rPr>
              <w:t>247,280</w:t>
            </w:r>
          </w:p>
        </w:tc>
        <w:tc>
          <w:tcPr>
            <w:tcW w:w="0" w:type="dxa"/>
            <w:vAlign w:val="bottom"/>
          </w:tcPr>
          <w:p>
            <w:pPr>
              <w:spacing w:after="0"/>
              <w:rPr>
                <w:sz w:val="1"/>
                <w:szCs w:val="1"/>
                <w:color w:val="auto"/>
              </w:rPr>
            </w:pPr>
          </w:p>
        </w:tc>
      </w:tr>
      <w:tr>
        <w:trPr>
          <w:trHeight w:val="210"/>
        </w:trPr>
        <w:tc>
          <w:tcPr>
            <w:tcW w:w="73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Exploration and corporate development</w:t>
            </w: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28,385</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16,651</w:t>
            </w:r>
          </w:p>
        </w:tc>
        <w:tc>
          <w:tcPr>
            <w:tcW w:w="0" w:type="dxa"/>
            <w:vAlign w:val="bottom"/>
          </w:tcPr>
          <w:p>
            <w:pPr>
              <w:spacing w:after="0"/>
              <w:rPr>
                <w:sz w:val="1"/>
                <w:szCs w:val="1"/>
                <w:color w:val="auto"/>
              </w:rPr>
            </w:pPr>
          </w:p>
        </w:tc>
      </w:tr>
      <w:tr>
        <w:trPr>
          <w:trHeight w:val="210"/>
        </w:trPr>
        <w:tc>
          <w:tcPr>
            <w:tcW w:w="7300" w:type="dxa"/>
            <w:vAlign w:val="bottom"/>
            <w:gridSpan w:val="2"/>
          </w:tcPr>
          <w:p>
            <w:pPr>
              <w:ind w:left="20"/>
              <w:spacing w:after="0"/>
              <w:rPr>
                <w:sz w:val="20"/>
                <w:szCs w:val="20"/>
                <w:color w:val="auto"/>
              </w:rPr>
            </w:pPr>
            <w:r>
              <w:rPr>
                <w:rFonts w:ascii="Arial" w:cs="Arial" w:eastAsia="Arial" w:hAnsi="Arial"/>
                <w:sz w:val="17"/>
                <w:szCs w:val="17"/>
                <w:color w:val="auto"/>
              </w:rPr>
              <w:t>Amortization of property, plant and mine development</w:t>
            </w:r>
          </w:p>
        </w:tc>
        <w:tc>
          <w:tcPr>
            <w:tcW w:w="140" w:type="dxa"/>
            <w:vAlign w:val="bottom"/>
          </w:tcPr>
          <w:p>
            <w:pPr>
              <w:spacing w:after="0"/>
              <w:rPr>
                <w:sz w:val="18"/>
                <w:szCs w:val="18"/>
                <w:color w:val="auto"/>
              </w:rPr>
            </w:pPr>
          </w:p>
        </w:tc>
        <w:tc>
          <w:tcPr>
            <w:tcW w:w="640" w:type="dxa"/>
            <w:vAlign w:val="bottom"/>
            <w:gridSpan w:val="2"/>
          </w:tcPr>
          <w:p>
            <w:pPr>
              <w:jc w:val="right"/>
              <w:ind w:right="20"/>
              <w:spacing w:after="0"/>
              <w:rPr>
                <w:sz w:val="20"/>
                <w:szCs w:val="20"/>
                <w:color w:val="auto"/>
              </w:rPr>
            </w:pPr>
            <w:r>
              <w:rPr>
                <w:rFonts w:ascii="Arial" w:cs="Arial" w:eastAsia="Arial" w:hAnsi="Arial"/>
                <w:sz w:val="17"/>
                <w:szCs w:val="17"/>
                <w:b w:val="1"/>
                <w:bCs w:val="1"/>
                <w:color w:val="auto"/>
                <w:w w:val="97"/>
              </w:rPr>
              <w:t>145,631</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w w:val="97"/>
              </w:rPr>
              <w:t>135,897</w:t>
            </w:r>
          </w:p>
        </w:tc>
        <w:tc>
          <w:tcPr>
            <w:tcW w:w="0" w:type="dxa"/>
            <w:vAlign w:val="bottom"/>
          </w:tcPr>
          <w:p>
            <w:pPr>
              <w:spacing w:after="0"/>
              <w:rPr>
                <w:sz w:val="1"/>
                <w:szCs w:val="1"/>
                <w:color w:val="auto"/>
              </w:rPr>
            </w:pPr>
          </w:p>
        </w:tc>
      </w:tr>
      <w:tr>
        <w:trPr>
          <w:trHeight w:val="210"/>
        </w:trPr>
        <w:tc>
          <w:tcPr>
            <w:tcW w:w="73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General and administrative</w:t>
            </w: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24,823</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25,221</w:t>
            </w:r>
          </w:p>
        </w:tc>
        <w:tc>
          <w:tcPr>
            <w:tcW w:w="0" w:type="dxa"/>
            <w:vAlign w:val="bottom"/>
          </w:tcPr>
          <w:p>
            <w:pPr>
              <w:spacing w:after="0"/>
              <w:rPr>
                <w:sz w:val="1"/>
                <w:szCs w:val="1"/>
                <w:color w:val="auto"/>
              </w:rPr>
            </w:pPr>
          </w:p>
        </w:tc>
      </w:tr>
      <w:tr>
        <w:trPr>
          <w:trHeight w:val="210"/>
        </w:trPr>
        <w:tc>
          <w:tcPr>
            <w:tcW w:w="7300" w:type="dxa"/>
            <w:vAlign w:val="bottom"/>
            <w:gridSpan w:val="2"/>
          </w:tcPr>
          <w:p>
            <w:pPr>
              <w:ind w:left="20"/>
              <w:spacing w:after="0"/>
              <w:rPr>
                <w:sz w:val="20"/>
                <w:szCs w:val="20"/>
                <w:color w:val="auto"/>
              </w:rPr>
            </w:pPr>
            <w:r>
              <w:rPr>
                <w:rFonts w:ascii="Arial" w:cs="Arial" w:eastAsia="Arial" w:hAnsi="Arial"/>
                <w:sz w:val="17"/>
                <w:szCs w:val="17"/>
                <w:color w:val="auto"/>
              </w:rPr>
              <w:t>Impairment loss on available-for-sale securities (note 7)</w:t>
            </w:r>
          </w:p>
        </w:tc>
        <w:tc>
          <w:tcPr>
            <w:tcW w:w="140" w:type="dxa"/>
            <w:vAlign w:val="bottom"/>
          </w:tcPr>
          <w:p>
            <w:pPr>
              <w:spacing w:after="0"/>
              <w:rPr>
                <w:sz w:val="18"/>
                <w:szCs w:val="18"/>
                <w:color w:val="auto"/>
              </w:rPr>
            </w:pPr>
          </w:p>
        </w:tc>
        <w:tc>
          <w:tcPr>
            <w:tcW w:w="780" w:type="dxa"/>
            <w:vAlign w:val="bottom"/>
            <w:gridSpan w:val="3"/>
          </w:tcPr>
          <w:p>
            <w:pPr>
              <w:jc w:val="right"/>
              <w:ind w:right="160"/>
              <w:spacing w:after="0"/>
              <w:rPr>
                <w:sz w:val="20"/>
                <w:szCs w:val="20"/>
                <w:color w:val="auto"/>
              </w:rPr>
            </w:pPr>
            <w:r>
              <w:rPr>
                <w:rFonts w:ascii="Arial" w:cs="Arial" w:eastAsia="Arial" w:hAnsi="Arial"/>
                <w:sz w:val="17"/>
                <w:szCs w:val="17"/>
                <w:b w:val="1"/>
                <w:bCs w:val="1"/>
                <w:color w:val="auto"/>
              </w:rPr>
              <w:t>—</w:t>
            </w:r>
          </w:p>
        </w:tc>
        <w:tc>
          <w:tcPr>
            <w:tcW w:w="14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685</w:t>
            </w:r>
          </w:p>
        </w:tc>
        <w:tc>
          <w:tcPr>
            <w:tcW w:w="0" w:type="dxa"/>
            <w:vAlign w:val="bottom"/>
          </w:tcPr>
          <w:p>
            <w:pPr>
              <w:spacing w:after="0"/>
              <w:rPr>
                <w:sz w:val="1"/>
                <w:szCs w:val="1"/>
                <w:color w:val="auto"/>
              </w:rPr>
            </w:pPr>
          </w:p>
        </w:tc>
      </w:tr>
      <w:tr>
        <w:trPr>
          <w:trHeight w:val="210"/>
        </w:trPr>
        <w:tc>
          <w:tcPr>
            <w:tcW w:w="73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Finance costs</w:t>
            </w: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17,801</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19,712</w:t>
            </w:r>
          </w:p>
        </w:tc>
        <w:tc>
          <w:tcPr>
            <w:tcW w:w="0" w:type="dxa"/>
            <w:vAlign w:val="bottom"/>
          </w:tcPr>
          <w:p>
            <w:pPr>
              <w:spacing w:after="0"/>
              <w:rPr>
                <w:sz w:val="1"/>
                <w:szCs w:val="1"/>
                <w:color w:val="auto"/>
              </w:rPr>
            </w:pPr>
          </w:p>
        </w:tc>
      </w:tr>
      <w:tr>
        <w:trPr>
          <w:trHeight w:val="210"/>
        </w:trPr>
        <w:tc>
          <w:tcPr>
            <w:tcW w:w="7300" w:type="dxa"/>
            <w:vAlign w:val="bottom"/>
            <w:gridSpan w:val="2"/>
          </w:tcPr>
          <w:p>
            <w:pPr>
              <w:ind w:left="20"/>
              <w:spacing w:after="0"/>
              <w:rPr>
                <w:sz w:val="20"/>
                <w:szCs w:val="20"/>
                <w:color w:val="auto"/>
              </w:rPr>
            </w:pPr>
            <w:r>
              <w:rPr>
                <w:rFonts w:ascii="Arial" w:cs="Arial" w:eastAsia="Arial" w:hAnsi="Arial"/>
                <w:sz w:val="17"/>
                <w:szCs w:val="17"/>
                <w:color w:val="auto"/>
              </w:rPr>
              <w:t>(Gain) loss on derivative financial instruments (note 12)</w:t>
            </w:r>
          </w:p>
        </w:tc>
        <w:tc>
          <w:tcPr>
            <w:tcW w:w="140" w:type="dxa"/>
            <w:vAlign w:val="bottom"/>
          </w:tcPr>
          <w:p>
            <w:pPr>
              <w:spacing w:after="0"/>
              <w:rPr>
                <w:sz w:val="18"/>
                <w:szCs w:val="18"/>
                <w:color w:val="auto"/>
              </w:rPr>
            </w:pPr>
          </w:p>
        </w:tc>
        <w:tc>
          <w:tcPr>
            <w:tcW w:w="780" w:type="dxa"/>
            <w:vAlign w:val="bottom"/>
            <w:gridSpan w:val="3"/>
          </w:tcPr>
          <w:p>
            <w:pPr>
              <w:jc w:val="right"/>
              <w:ind w:right="100"/>
              <w:spacing w:after="0"/>
              <w:rPr>
                <w:sz w:val="20"/>
                <w:szCs w:val="20"/>
                <w:color w:val="auto"/>
              </w:rPr>
            </w:pPr>
            <w:r>
              <w:rPr>
                <w:rFonts w:ascii="Arial" w:cs="Arial" w:eastAsia="Arial" w:hAnsi="Arial"/>
                <w:sz w:val="17"/>
                <w:szCs w:val="17"/>
                <w:b w:val="1"/>
                <w:bCs w:val="1"/>
                <w:color w:val="auto"/>
              </w:rPr>
              <w:t>(9,621)</w:t>
            </w:r>
          </w:p>
        </w:tc>
        <w:tc>
          <w:tcPr>
            <w:tcW w:w="14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8,576</w:t>
            </w:r>
          </w:p>
        </w:tc>
        <w:tc>
          <w:tcPr>
            <w:tcW w:w="0" w:type="dxa"/>
            <w:vAlign w:val="bottom"/>
          </w:tcPr>
          <w:p>
            <w:pPr>
              <w:spacing w:after="0"/>
              <w:rPr>
                <w:sz w:val="1"/>
                <w:szCs w:val="1"/>
                <w:color w:val="auto"/>
              </w:rPr>
            </w:pPr>
          </w:p>
        </w:tc>
      </w:tr>
      <w:tr>
        <w:trPr>
          <w:trHeight w:val="210"/>
        </w:trPr>
        <w:tc>
          <w:tcPr>
            <w:tcW w:w="73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Gain on sale of available-for-sale securities (note 7)</w:t>
            </w:r>
          </w:p>
        </w:tc>
        <w:tc>
          <w:tcPr>
            <w:tcW w:w="14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100"/>
              <w:spacing w:after="0"/>
              <w:rPr>
                <w:sz w:val="20"/>
                <w:szCs w:val="20"/>
                <w:color w:val="auto"/>
              </w:rPr>
            </w:pPr>
            <w:r>
              <w:rPr>
                <w:rFonts w:ascii="Arial" w:cs="Arial" w:eastAsia="Arial" w:hAnsi="Arial"/>
                <w:sz w:val="17"/>
                <w:szCs w:val="17"/>
                <w:b w:val="1"/>
                <w:bCs w:val="1"/>
                <w:color w:val="auto"/>
              </w:rPr>
              <w:t>(119)</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(21,049)</w:t>
            </w:r>
          </w:p>
        </w:tc>
        <w:tc>
          <w:tcPr>
            <w:tcW w:w="0" w:type="dxa"/>
            <w:vAlign w:val="bottom"/>
          </w:tcPr>
          <w:p>
            <w:pPr>
              <w:spacing w:after="0"/>
              <w:rPr>
                <w:sz w:val="1"/>
                <w:szCs w:val="1"/>
                <w:color w:val="auto"/>
              </w:rPr>
            </w:pPr>
          </w:p>
        </w:tc>
      </w:tr>
      <w:tr>
        <w:trPr>
          <w:trHeight w:val="210"/>
        </w:trPr>
        <w:tc>
          <w:tcPr>
            <w:tcW w:w="7300" w:type="dxa"/>
            <w:vAlign w:val="bottom"/>
            <w:gridSpan w:val="2"/>
          </w:tcPr>
          <w:p>
            <w:pPr>
              <w:ind w:left="20"/>
              <w:spacing w:after="0"/>
              <w:rPr>
                <w:sz w:val="20"/>
                <w:szCs w:val="20"/>
                <w:color w:val="auto"/>
              </w:rPr>
            </w:pPr>
            <w:r>
              <w:rPr>
                <w:rFonts w:ascii="Arial" w:cs="Arial" w:eastAsia="Arial" w:hAnsi="Arial"/>
                <w:sz w:val="17"/>
                <w:szCs w:val="17"/>
                <w:color w:val="auto"/>
              </w:rPr>
              <w:t>Environmental remediation</w:t>
            </w:r>
          </w:p>
        </w:tc>
        <w:tc>
          <w:tcPr>
            <w:tcW w:w="140" w:type="dxa"/>
            <w:vAlign w:val="bottom"/>
          </w:tcPr>
          <w:p>
            <w:pPr>
              <w:spacing w:after="0"/>
              <w:rPr>
                <w:sz w:val="18"/>
                <w:szCs w:val="18"/>
                <w:color w:val="auto"/>
              </w:rPr>
            </w:pPr>
          </w:p>
        </w:tc>
        <w:tc>
          <w:tcPr>
            <w:tcW w:w="640" w:type="dxa"/>
            <w:vAlign w:val="bottom"/>
            <w:gridSpan w:val="2"/>
          </w:tcPr>
          <w:p>
            <w:pPr>
              <w:jc w:val="right"/>
              <w:ind w:right="20"/>
              <w:spacing w:after="0"/>
              <w:rPr>
                <w:sz w:val="20"/>
                <w:szCs w:val="20"/>
                <w:color w:val="auto"/>
              </w:rPr>
            </w:pPr>
            <w:r>
              <w:rPr>
                <w:rFonts w:ascii="Arial" w:cs="Arial" w:eastAsia="Arial" w:hAnsi="Arial"/>
                <w:sz w:val="17"/>
                <w:szCs w:val="17"/>
                <w:b w:val="1"/>
                <w:bCs w:val="1"/>
                <w:color w:val="auto"/>
              </w:rPr>
              <w:t>5,093</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429</w:t>
            </w:r>
          </w:p>
        </w:tc>
        <w:tc>
          <w:tcPr>
            <w:tcW w:w="0" w:type="dxa"/>
            <w:vAlign w:val="bottom"/>
          </w:tcPr>
          <w:p>
            <w:pPr>
              <w:spacing w:after="0"/>
              <w:rPr>
                <w:sz w:val="1"/>
                <w:szCs w:val="1"/>
                <w:color w:val="auto"/>
              </w:rPr>
            </w:pPr>
          </w:p>
        </w:tc>
      </w:tr>
      <w:tr>
        <w:trPr>
          <w:trHeight w:val="210"/>
        </w:trPr>
        <w:tc>
          <w:tcPr>
            <w:tcW w:w="73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Foreign currency translation loss (gain)</w:t>
            </w: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6,770</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(11,690)</w:t>
            </w:r>
          </w:p>
        </w:tc>
        <w:tc>
          <w:tcPr>
            <w:tcW w:w="0" w:type="dxa"/>
            <w:vAlign w:val="bottom"/>
          </w:tcPr>
          <w:p>
            <w:pPr>
              <w:spacing w:after="0"/>
              <w:rPr>
                <w:sz w:val="1"/>
                <w:szCs w:val="1"/>
                <w:color w:val="auto"/>
              </w:rPr>
            </w:pPr>
          </w:p>
        </w:tc>
      </w:tr>
      <w:tr>
        <w:trPr>
          <w:trHeight w:val="229"/>
        </w:trPr>
        <w:tc>
          <w:tcPr>
            <w:tcW w:w="7300" w:type="dxa"/>
            <w:vAlign w:val="bottom"/>
            <w:gridSpan w:val="2"/>
          </w:tcPr>
          <w:p>
            <w:pPr>
              <w:ind w:left="20"/>
              <w:spacing w:after="0"/>
              <w:rPr>
                <w:sz w:val="20"/>
                <w:szCs w:val="20"/>
                <w:color w:val="auto"/>
              </w:rPr>
            </w:pPr>
            <w:r>
              <w:rPr>
                <w:rFonts w:ascii="Arial" w:cs="Arial" w:eastAsia="Arial" w:hAnsi="Arial"/>
                <w:sz w:val="17"/>
                <w:szCs w:val="17"/>
                <w:color w:val="auto"/>
              </w:rPr>
              <w:t>Other expenses</w:t>
            </w:r>
          </w:p>
        </w:tc>
        <w:tc>
          <w:tcPr>
            <w:tcW w:w="14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598</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5,171</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73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Income before income and mining taxes</w:t>
            </w: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27,197</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56,713</w:t>
            </w:r>
          </w:p>
        </w:tc>
        <w:tc>
          <w:tcPr>
            <w:tcW w:w="0" w:type="dxa"/>
            <w:vAlign w:val="bottom"/>
          </w:tcPr>
          <w:p>
            <w:pPr>
              <w:spacing w:after="0"/>
              <w:rPr>
                <w:sz w:val="1"/>
                <w:szCs w:val="1"/>
                <w:color w:val="auto"/>
              </w:rPr>
            </w:pPr>
          </w:p>
        </w:tc>
      </w:tr>
      <w:tr>
        <w:trPr>
          <w:trHeight w:val="229"/>
        </w:trPr>
        <w:tc>
          <w:tcPr>
            <w:tcW w:w="7300" w:type="dxa"/>
            <w:vAlign w:val="bottom"/>
            <w:gridSpan w:val="2"/>
          </w:tcPr>
          <w:p>
            <w:pPr>
              <w:ind w:left="20"/>
              <w:spacing w:after="0"/>
              <w:rPr>
                <w:sz w:val="20"/>
                <w:szCs w:val="20"/>
                <w:color w:val="auto"/>
              </w:rPr>
            </w:pPr>
            <w:r>
              <w:rPr>
                <w:rFonts w:ascii="Arial" w:cs="Arial" w:eastAsia="Arial" w:hAnsi="Arial"/>
                <w:sz w:val="17"/>
                <w:szCs w:val="17"/>
                <w:color w:val="auto"/>
              </w:rPr>
              <w:t>Income and mining taxes (recovery) expense</w:t>
            </w:r>
          </w:p>
        </w:tc>
        <w:tc>
          <w:tcPr>
            <w:tcW w:w="140" w:type="dxa"/>
            <w:vAlign w:val="bottom"/>
          </w:tcPr>
          <w:p>
            <w:pPr>
              <w:spacing w:after="0"/>
              <w:rPr>
                <w:sz w:val="19"/>
                <w:szCs w:val="19"/>
                <w:color w:val="auto"/>
              </w:rPr>
            </w:pPr>
          </w:p>
        </w:tc>
        <w:tc>
          <w:tcPr>
            <w:tcW w:w="780" w:type="dxa"/>
            <w:vAlign w:val="bottom"/>
            <w:gridSpan w:val="3"/>
          </w:tcPr>
          <w:p>
            <w:pPr>
              <w:jc w:val="right"/>
              <w:ind w:right="100"/>
              <w:spacing w:after="0"/>
              <w:rPr>
                <w:sz w:val="20"/>
                <w:szCs w:val="20"/>
                <w:color w:val="auto"/>
              </w:rPr>
            </w:pPr>
            <w:r>
              <w:rPr>
                <w:rFonts w:ascii="Arial" w:cs="Arial" w:eastAsia="Arial" w:hAnsi="Arial"/>
                <w:sz w:val="17"/>
                <w:szCs w:val="17"/>
                <w:b w:val="1"/>
                <w:bCs w:val="1"/>
                <w:color w:val="auto"/>
              </w:rPr>
              <w:t>(591)</w:t>
            </w:r>
          </w:p>
        </w:tc>
        <w:tc>
          <w:tcPr>
            <w:tcW w:w="140" w:type="dxa"/>
            <w:vAlign w:val="bottom"/>
          </w:tcPr>
          <w:p>
            <w:pPr>
              <w:spacing w:after="0"/>
              <w:rPr>
                <w:sz w:val="19"/>
                <w:szCs w:val="19"/>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27,970</w:t>
            </w:r>
          </w:p>
        </w:tc>
        <w:tc>
          <w:tcPr>
            <w:tcW w:w="0" w:type="dxa"/>
            <w:vAlign w:val="bottom"/>
          </w:tcPr>
          <w:p>
            <w:pPr>
              <w:spacing w:after="0"/>
              <w:rPr>
                <w:sz w:val="1"/>
                <w:szCs w:val="1"/>
                <w:color w:val="auto"/>
              </w:rPr>
            </w:pPr>
          </w:p>
        </w:tc>
      </w:tr>
      <w:tr>
        <w:trPr>
          <w:trHeight w:val="210"/>
        </w:trPr>
        <w:tc>
          <w:tcPr>
            <w:tcW w:w="73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Net income for the period</w:t>
            </w: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b w:val="1"/>
                <w:bCs w:val="1"/>
                <w:color w:val="auto"/>
              </w:rPr>
              <w:t>27,788</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28,743</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7300" w:type="dxa"/>
            <w:vAlign w:val="bottom"/>
            <w:gridSpan w:val="2"/>
            <w:vMerge w:val="restart"/>
          </w:tcPr>
          <w:p>
            <w:pPr>
              <w:ind w:left="20"/>
              <w:spacing w:after="0"/>
              <w:rPr>
                <w:sz w:val="20"/>
                <w:szCs w:val="20"/>
                <w:color w:val="auto"/>
              </w:rPr>
            </w:pPr>
            <w:r>
              <w:rPr>
                <w:rFonts w:ascii="Arial" w:cs="Arial" w:eastAsia="Arial" w:hAnsi="Arial"/>
                <w:sz w:val="17"/>
                <w:szCs w:val="17"/>
                <w:color w:val="auto"/>
              </w:rPr>
              <w:t>Net income per share — basic (note 10)</w:t>
            </w: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300" w:type="dxa"/>
            <w:vAlign w:val="bottom"/>
            <w:gridSpan w:val="2"/>
            <w:vMerge w:val="continu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7300" w:type="dxa"/>
            <w:vAlign w:val="bottom"/>
            <w:gridSpan w:val="2"/>
            <w:vMerge w:val="continue"/>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0.13</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0.13</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6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3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Net income per share — diluted (note 10)</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64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0.13</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0.13</w:t>
            </w:r>
          </w:p>
        </w:tc>
        <w:tc>
          <w:tcPr>
            <w:tcW w:w="0" w:type="dxa"/>
            <w:vAlign w:val="bottom"/>
          </w:tcPr>
          <w:p>
            <w:pPr>
              <w:spacing w:after="0"/>
              <w:rPr>
                <w:sz w:val="1"/>
                <w:szCs w:val="1"/>
                <w:color w:val="auto"/>
              </w:rPr>
            </w:pPr>
          </w:p>
        </w:tc>
      </w:tr>
      <w:tr>
        <w:trPr>
          <w:trHeight w:val="26"/>
        </w:trPr>
        <w:tc>
          <w:tcPr>
            <w:tcW w:w="7300" w:type="dxa"/>
            <w:vAlign w:val="bottom"/>
            <w:gridSpan w:val="2"/>
            <w:vMerge w:val="restart"/>
          </w:tcPr>
          <w:p>
            <w:pPr>
              <w:ind w:left="20"/>
              <w:spacing w:after="0"/>
              <w:rPr>
                <w:sz w:val="20"/>
                <w:szCs w:val="20"/>
                <w:color w:val="auto"/>
              </w:rPr>
            </w:pPr>
            <w:r>
              <w:rPr>
                <w:rFonts w:ascii="Arial" w:cs="Arial" w:eastAsia="Arial" w:hAnsi="Arial"/>
                <w:sz w:val="17"/>
                <w:szCs w:val="17"/>
                <w:color w:val="auto"/>
              </w:rPr>
              <w:t>Cash dividends declared per common share</w:t>
            </w: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300" w:type="dxa"/>
            <w:vAlign w:val="bottom"/>
            <w:gridSpan w:val="2"/>
            <w:vMerge w:val="continu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7300" w:type="dxa"/>
            <w:vAlign w:val="bottom"/>
            <w:gridSpan w:val="2"/>
            <w:vMerge w:val="continue"/>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0.08</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0.08</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6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6"/>
        </w:trPr>
        <w:tc>
          <w:tcPr>
            <w:tcW w:w="7300" w:type="dxa"/>
            <w:vAlign w:val="bottom"/>
            <w:gridSpan w:val="2"/>
            <w:shd w:val="clear" w:color="auto" w:fill="CCEEFF"/>
          </w:tcPr>
          <w:p>
            <w:pPr>
              <w:ind w:left="20"/>
              <w:spacing w:after="0"/>
              <w:rPr>
                <w:sz w:val="20"/>
                <w:szCs w:val="20"/>
                <w:color w:val="auto"/>
              </w:rPr>
            </w:pPr>
            <w:r>
              <w:rPr>
                <w:rFonts w:ascii="Arial" w:cs="Arial" w:eastAsia="Arial" w:hAnsi="Arial"/>
                <w:sz w:val="17"/>
                <w:szCs w:val="17"/>
                <w:b w:val="1"/>
                <w:bCs w:val="1"/>
                <w:color w:val="auto"/>
              </w:rPr>
              <w:t>COMPREHENSIVE INCOME</w:t>
            </w:r>
          </w:p>
        </w:tc>
        <w:tc>
          <w:tcPr>
            <w:tcW w:w="14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7300" w:type="dxa"/>
            <w:vAlign w:val="bottom"/>
            <w:gridSpan w:val="2"/>
          </w:tcPr>
          <w:p>
            <w:pPr>
              <w:ind w:left="20"/>
              <w:spacing w:after="0"/>
              <w:rPr>
                <w:sz w:val="20"/>
                <w:szCs w:val="20"/>
                <w:color w:val="auto"/>
              </w:rPr>
            </w:pPr>
            <w:r>
              <w:rPr>
                <w:rFonts w:ascii="Arial" w:cs="Arial" w:eastAsia="Arial" w:hAnsi="Arial"/>
                <w:sz w:val="17"/>
                <w:szCs w:val="17"/>
                <w:color w:val="auto"/>
              </w:rPr>
              <w:t>Net income for the period</w:t>
            </w:r>
          </w:p>
        </w:tc>
        <w:tc>
          <w:tcPr>
            <w:tcW w:w="14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640" w:type="dxa"/>
            <w:vAlign w:val="bottom"/>
            <w:gridSpan w:val="2"/>
          </w:tcPr>
          <w:p>
            <w:pPr>
              <w:jc w:val="right"/>
              <w:ind w:right="20"/>
              <w:spacing w:after="0"/>
              <w:rPr>
                <w:sz w:val="20"/>
                <w:szCs w:val="20"/>
                <w:color w:val="auto"/>
              </w:rPr>
            </w:pPr>
            <w:r>
              <w:rPr>
                <w:rFonts w:ascii="Arial" w:cs="Arial" w:eastAsia="Arial" w:hAnsi="Arial"/>
                <w:sz w:val="17"/>
                <w:szCs w:val="17"/>
                <w:b w:val="1"/>
                <w:bCs w:val="1"/>
                <w:color w:val="auto"/>
              </w:rPr>
              <w:t>27,788</w:t>
            </w:r>
          </w:p>
        </w:tc>
        <w:tc>
          <w:tcPr>
            <w:tcW w:w="14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28,743</w:t>
            </w:r>
          </w:p>
        </w:tc>
        <w:tc>
          <w:tcPr>
            <w:tcW w:w="0" w:type="dxa"/>
            <w:vAlign w:val="bottom"/>
          </w:tcPr>
          <w:p>
            <w:pPr>
              <w:spacing w:after="0"/>
              <w:rPr>
                <w:sz w:val="1"/>
                <w:szCs w:val="1"/>
                <w:color w:val="auto"/>
              </w:rPr>
            </w:pPr>
          </w:p>
        </w:tc>
      </w:tr>
      <w:tr>
        <w:trPr>
          <w:trHeight w:val="210"/>
        </w:trPr>
        <w:tc>
          <w:tcPr>
            <w:tcW w:w="73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Other comprehensive income (loss):</w:t>
            </w:r>
          </w:p>
        </w:tc>
        <w:tc>
          <w:tcPr>
            <w:tcW w:w="14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300" w:type="dxa"/>
            <w:vAlign w:val="bottom"/>
            <w:gridSpan w:val="2"/>
          </w:tcPr>
          <w:p>
            <w:pPr>
              <w:ind w:left="20"/>
              <w:spacing w:after="0"/>
              <w:rPr>
                <w:sz w:val="20"/>
                <w:szCs w:val="20"/>
                <w:color w:val="auto"/>
              </w:rPr>
            </w:pPr>
            <w:r>
              <w:rPr>
                <w:rFonts w:ascii="Arial" w:cs="Arial" w:eastAsia="Arial" w:hAnsi="Arial"/>
                <w:sz w:val="17"/>
                <w:szCs w:val="17"/>
                <w:color w:val="auto"/>
              </w:rPr>
              <w:t>Items that may be subsequently reclassified to net income:</w:t>
            </w: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3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Available-for-sale securities and other investments:</w:t>
            </w: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300" w:type="dxa"/>
            <w:vAlign w:val="bottom"/>
            <w:gridSpan w:val="2"/>
          </w:tcPr>
          <w:p>
            <w:pPr>
              <w:ind w:left="360"/>
              <w:spacing w:after="0"/>
              <w:rPr>
                <w:sz w:val="20"/>
                <w:szCs w:val="20"/>
                <w:color w:val="auto"/>
              </w:rPr>
            </w:pPr>
            <w:r>
              <w:rPr>
                <w:rFonts w:ascii="Arial" w:cs="Arial" w:eastAsia="Arial" w:hAnsi="Arial"/>
                <w:sz w:val="17"/>
                <w:szCs w:val="17"/>
                <w:color w:val="auto"/>
              </w:rPr>
              <w:t>Unrealized change in fair value of available-for-sale securities</w:t>
            </w:r>
          </w:p>
        </w:tc>
        <w:tc>
          <w:tcPr>
            <w:tcW w:w="140" w:type="dxa"/>
            <w:vAlign w:val="bottom"/>
          </w:tcPr>
          <w:p>
            <w:pPr>
              <w:spacing w:after="0"/>
              <w:rPr>
                <w:sz w:val="18"/>
                <w:szCs w:val="18"/>
                <w:color w:val="auto"/>
              </w:rPr>
            </w:pPr>
          </w:p>
        </w:tc>
        <w:tc>
          <w:tcPr>
            <w:tcW w:w="640" w:type="dxa"/>
            <w:vAlign w:val="bottom"/>
            <w:gridSpan w:val="2"/>
          </w:tcPr>
          <w:p>
            <w:pPr>
              <w:jc w:val="right"/>
              <w:ind w:right="20"/>
              <w:spacing w:after="0"/>
              <w:rPr>
                <w:sz w:val="20"/>
                <w:szCs w:val="20"/>
                <w:color w:val="auto"/>
              </w:rPr>
            </w:pPr>
            <w:r>
              <w:rPr>
                <w:rFonts w:ascii="Arial" w:cs="Arial" w:eastAsia="Arial" w:hAnsi="Arial"/>
                <w:sz w:val="17"/>
                <w:szCs w:val="17"/>
                <w:b w:val="1"/>
                <w:bCs w:val="1"/>
                <w:color w:val="auto"/>
              </w:rPr>
              <w:t>29,348</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10,987</w:t>
            </w:r>
          </w:p>
        </w:tc>
        <w:tc>
          <w:tcPr>
            <w:tcW w:w="0" w:type="dxa"/>
            <w:vAlign w:val="bottom"/>
          </w:tcPr>
          <w:p>
            <w:pPr>
              <w:spacing w:after="0"/>
              <w:rPr>
                <w:sz w:val="1"/>
                <w:szCs w:val="1"/>
                <w:color w:val="auto"/>
              </w:rPr>
            </w:pPr>
          </w:p>
        </w:tc>
      </w:tr>
      <w:tr>
        <w:trPr>
          <w:trHeight w:val="210"/>
        </w:trPr>
        <w:tc>
          <w:tcPr>
            <w:tcW w:w="7300" w:type="dxa"/>
            <w:vAlign w:val="bottom"/>
            <w:gridSpan w:val="2"/>
            <w:shd w:val="clear" w:color="auto" w:fill="CCEEFF"/>
          </w:tcPr>
          <w:p>
            <w:pPr>
              <w:ind w:left="360"/>
              <w:spacing w:after="0"/>
              <w:rPr>
                <w:sz w:val="20"/>
                <w:szCs w:val="20"/>
                <w:color w:val="auto"/>
              </w:rPr>
            </w:pPr>
            <w:r>
              <w:rPr>
                <w:rFonts w:ascii="Arial" w:cs="Arial" w:eastAsia="Arial" w:hAnsi="Arial"/>
                <w:sz w:val="17"/>
                <w:szCs w:val="17"/>
                <w:color w:val="auto"/>
              </w:rPr>
              <w:t>Reclassification to impairment loss on available-for-sale securities (note 7)</w:t>
            </w:r>
          </w:p>
        </w:tc>
        <w:tc>
          <w:tcPr>
            <w:tcW w:w="14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685</w:t>
            </w:r>
          </w:p>
        </w:tc>
        <w:tc>
          <w:tcPr>
            <w:tcW w:w="0" w:type="dxa"/>
            <w:vAlign w:val="bottom"/>
          </w:tcPr>
          <w:p>
            <w:pPr>
              <w:spacing w:after="0"/>
              <w:rPr>
                <w:sz w:val="1"/>
                <w:szCs w:val="1"/>
                <w:color w:val="auto"/>
              </w:rPr>
            </w:pPr>
          </w:p>
        </w:tc>
      </w:tr>
      <w:tr>
        <w:trPr>
          <w:trHeight w:val="210"/>
        </w:trPr>
        <w:tc>
          <w:tcPr>
            <w:tcW w:w="7300" w:type="dxa"/>
            <w:vAlign w:val="bottom"/>
            <w:gridSpan w:val="2"/>
          </w:tcPr>
          <w:p>
            <w:pPr>
              <w:ind w:left="360"/>
              <w:spacing w:after="0"/>
              <w:rPr>
                <w:sz w:val="20"/>
                <w:szCs w:val="20"/>
                <w:color w:val="auto"/>
              </w:rPr>
            </w:pPr>
            <w:r>
              <w:rPr>
                <w:rFonts w:ascii="Arial" w:cs="Arial" w:eastAsia="Arial" w:hAnsi="Arial"/>
                <w:sz w:val="17"/>
                <w:szCs w:val="17"/>
                <w:color w:val="auto"/>
              </w:rPr>
              <w:t>Reclassification to gain on sale of available-for-sale securities (note 7)</w:t>
            </w:r>
          </w:p>
        </w:tc>
        <w:tc>
          <w:tcPr>
            <w:tcW w:w="140" w:type="dxa"/>
            <w:vAlign w:val="bottom"/>
          </w:tcPr>
          <w:p>
            <w:pPr>
              <w:spacing w:after="0"/>
              <w:rPr>
                <w:sz w:val="18"/>
                <w:szCs w:val="18"/>
                <w:color w:val="auto"/>
              </w:rPr>
            </w:pPr>
          </w:p>
        </w:tc>
        <w:tc>
          <w:tcPr>
            <w:tcW w:w="780" w:type="dxa"/>
            <w:vAlign w:val="bottom"/>
            <w:gridSpan w:val="3"/>
          </w:tcPr>
          <w:p>
            <w:pPr>
              <w:jc w:val="right"/>
              <w:ind w:right="100"/>
              <w:spacing w:after="0"/>
              <w:rPr>
                <w:sz w:val="20"/>
                <w:szCs w:val="20"/>
                <w:color w:val="auto"/>
              </w:rPr>
            </w:pPr>
            <w:r>
              <w:rPr>
                <w:rFonts w:ascii="Arial" w:cs="Arial" w:eastAsia="Arial" w:hAnsi="Arial"/>
                <w:sz w:val="17"/>
                <w:szCs w:val="17"/>
                <w:b w:val="1"/>
                <w:bCs w:val="1"/>
                <w:color w:val="auto"/>
              </w:rPr>
              <w:t>(119)</w:t>
            </w:r>
          </w:p>
        </w:tc>
        <w:tc>
          <w:tcPr>
            <w:tcW w:w="140" w:type="dxa"/>
            <w:vAlign w:val="bottom"/>
          </w:tcPr>
          <w:p>
            <w:pPr>
              <w:spacing w:after="0"/>
              <w:rPr>
                <w:sz w:val="18"/>
                <w:szCs w:val="18"/>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7"/>
                <w:szCs w:val="17"/>
                <w:color w:val="auto"/>
              </w:rPr>
              <w:t>(21,049)</w:t>
            </w:r>
          </w:p>
        </w:tc>
        <w:tc>
          <w:tcPr>
            <w:tcW w:w="0" w:type="dxa"/>
            <w:vAlign w:val="bottom"/>
          </w:tcPr>
          <w:p>
            <w:pPr>
              <w:spacing w:after="0"/>
              <w:rPr>
                <w:sz w:val="1"/>
                <w:szCs w:val="1"/>
                <w:color w:val="auto"/>
              </w:rPr>
            </w:pPr>
          </w:p>
        </w:tc>
      </w:tr>
      <w:tr>
        <w:trPr>
          <w:trHeight w:val="210"/>
        </w:trPr>
        <w:tc>
          <w:tcPr>
            <w:tcW w:w="7300" w:type="dxa"/>
            <w:vAlign w:val="bottom"/>
            <w:gridSpan w:val="2"/>
            <w:shd w:val="clear" w:color="auto" w:fill="CCEEFF"/>
          </w:tcPr>
          <w:p>
            <w:pPr>
              <w:ind w:left="360"/>
              <w:spacing w:after="0"/>
              <w:rPr>
                <w:sz w:val="20"/>
                <w:szCs w:val="20"/>
                <w:color w:val="auto"/>
              </w:rPr>
            </w:pPr>
            <w:r>
              <w:rPr>
                <w:rFonts w:ascii="Arial" w:cs="Arial" w:eastAsia="Arial" w:hAnsi="Arial"/>
                <w:sz w:val="17"/>
                <w:szCs w:val="17"/>
                <w:color w:val="auto"/>
              </w:rPr>
              <w:t>Income tax impact of reclassification items</w:t>
            </w: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16</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2,713</w:t>
            </w:r>
          </w:p>
        </w:tc>
        <w:tc>
          <w:tcPr>
            <w:tcW w:w="0" w:type="dxa"/>
            <w:vAlign w:val="bottom"/>
          </w:tcPr>
          <w:p>
            <w:pPr>
              <w:spacing w:after="0"/>
              <w:rPr>
                <w:sz w:val="1"/>
                <w:szCs w:val="1"/>
                <w:color w:val="auto"/>
              </w:rPr>
            </w:pPr>
          </w:p>
        </w:tc>
      </w:tr>
      <w:tr>
        <w:trPr>
          <w:trHeight w:val="228"/>
        </w:trPr>
        <w:tc>
          <w:tcPr>
            <w:tcW w:w="7300" w:type="dxa"/>
            <w:vAlign w:val="bottom"/>
            <w:gridSpan w:val="2"/>
          </w:tcPr>
          <w:p>
            <w:pPr>
              <w:ind w:left="360"/>
              <w:spacing w:after="0"/>
              <w:rPr>
                <w:sz w:val="20"/>
                <w:szCs w:val="20"/>
                <w:color w:val="auto"/>
              </w:rPr>
            </w:pPr>
            <w:r>
              <w:rPr>
                <w:rFonts w:ascii="Arial" w:cs="Arial" w:eastAsia="Arial" w:hAnsi="Arial"/>
                <w:sz w:val="17"/>
                <w:szCs w:val="17"/>
                <w:color w:val="auto"/>
              </w:rPr>
              <w:t>Income tax impact of other comprehensive income (loss) items</w:t>
            </w:r>
          </w:p>
        </w:tc>
        <w:tc>
          <w:tcPr>
            <w:tcW w:w="140" w:type="dxa"/>
            <w:vAlign w:val="bottom"/>
          </w:tcPr>
          <w:p>
            <w:pPr>
              <w:spacing w:after="0"/>
              <w:rPr>
                <w:sz w:val="19"/>
                <w:szCs w:val="19"/>
                <w:color w:val="auto"/>
              </w:rPr>
            </w:pPr>
          </w:p>
        </w:tc>
        <w:tc>
          <w:tcPr>
            <w:tcW w:w="780" w:type="dxa"/>
            <w:vAlign w:val="bottom"/>
            <w:gridSpan w:val="3"/>
          </w:tcPr>
          <w:p>
            <w:pPr>
              <w:jc w:val="right"/>
              <w:ind w:right="100"/>
              <w:spacing w:after="0"/>
              <w:rPr>
                <w:sz w:val="20"/>
                <w:szCs w:val="20"/>
                <w:color w:val="auto"/>
              </w:rPr>
            </w:pPr>
            <w:r>
              <w:rPr>
                <w:rFonts w:ascii="Arial" w:cs="Arial" w:eastAsia="Arial" w:hAnsi="Arial"/>
                <w:sz w:val="17"/>
                <w:szCs w:val="17"/>
                <w:b w:val="1"/>
                <w:bCs w:val="1"/>
                <w:color w:val="auto"/>
              </w:rPr>
              <w:t>(3,916)</w:t>
            </w:r>
          </w:p>
        </w:tc>
        <w:tc>
          <w:tcPr>
            <w:tcW w:w="140" w:type="dxa"/>
            <w:vAlign w:val="bottom"/>
          </w:tcPr>
          <w:p>
            <w:pPr>
              <w:spacing w:after="0"/>
              <w:rPr>
                <w:sz w:val="19"/>
                <w:szCs w:val="19"/>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7"/>
                <w:szCs w:val="17"/>
                <w:color w:val="auto"/>
              </w:rPr>
              <w:t>(1,463)</w:t>
            </w:r>
          </w:p>
        </w:tc>
        <w:tc>
          <w:tcPr>
            <w:tcW w:w="0" w:type="dxa"/>
            <w:vAlign w:val="bottom"/>
          </w:tcPr>
          <w:p>
            <w:pPr>
              <w:spacing w:after="0"/>
              <w:rPr>
                <w:sz w:val="1"/>
                <w:szCs w:val="1"/>
                <w:color w:val="auto"/>
              </w:rPr>
            </w:pPr>
          </w:p>
        </w:tc>
      </w:tr>
      <w:tr>
        <w:trPr>
          <w:trHeight w:val="21"/>
        </w:trPr>
        <w:tc>
          <w:tcPr>
            <w:tcW w:w="1140" w:type="dxa"/>
            <w:vAlign w:val="bottom"/>
          </w:tcPr>
          <w:p>
            <w:pPr>
              <w:spacing w:after="0" w:line="20" w:lineRule="exact"/>
              <w:rPr>
                <w:sz w:val="1"/>
                <w:szCs w:val="1"/>
                <w:color w:val="auto"/>
              </w:rPr>
            </w:pPr>
          </w:p>
        </w:tc>
        <w:tc>
          <w:tcPr>
            <w:tcW w:w="6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140" w:type="dxa"/>
            <w:vAlign w:val="bottom"/>
            <w:shd w:val="clear" w:color="auto" w:fill="CCEEFF"/>
          </w:tcPr>
          <w:p>
            <w:pPr>
              <w:spacing w:after="0"/>
              <w:rPr>
                <w:sz w:val="18"/>
                <w:szCs w:val="18"/>
                <w:color w:val="auto"/>
              </w:rPr>
            </w:pPr>
          </w:p>
        </w:tc>
        <w:tc>
          <w:tcPr>
            <w:tcW w:w="6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rPr>
              <w:t>25,329</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(8,127)</w:t>
            </w:r>
          </w:p>
        </w:tc>
        <w:tc>
          <w:tcPr>
            <w:tcW w:w="0" w:type="dxa"/>
            <w:vAlign w:val="bottom"/>
          </w:tcPr>
          <w:p>
            <w:pPr>
              <w:spacing w:after="0"/>
              <w:rPr>
                <w:sz w:val="1"/>
                <w:szCs w:val="1"/>
                <w:color w:val="auto"/>
              </w:rPr>
            </w:pPr>
          </w:p>
        </w:tc>
      </w:tr>
      <w:tr>
        <w:trPr>
          <w:trHeight w:val="26"/>
        </w:trPr>
        <w:tc>
          <w:tcPr>
            <w:tcW w:w="7300" w:type="dxa"/>
            <w:vAlign w:val="bottom"/>
            <w:gridSpan w:val="2"/>
            <w:vMerge w:val="restart"/>
          </w:tcPr>
          <w:p>
            <w:pPr>
              <w:ind w:left="20"/>
              <w:spacing w:after="0"/>
              <w:rPr>
                <w:sz w:val="20"/>
                <w:szCs w:val="20"/>
                <w:color w:val="auto"/>
              </w:rPr>
            </w:pPr>
            <w:r>
              <w:rPr>
                <w:rFonts w:ascii="Arial" w:cs="Arial" w:eastAsia="Arial" w:hAnsi="Arial"/>
                <w:sz w:val="17"/>
                <w:szCs w:val="17"/>
                <w:color w:val="auto"/>
              </w:rPr>
              <w:t>Items that will not be subsequently reclassified to net income:</w:t>
            </w: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7300" w:type="dxa"/>
            <w:vAlign w:val="bottom"/>
            <w:gridSpan w:val="2"/>
            <w:vMerge w:val="continue"/>
          </w:tcPr>
          <w:p>
            <w:pPr>
              <w:spacing w:after="0"/>
              <w:rPr>
                <w:sz w:val="17"/>
                <w:szCs w:val="17"/>
                <w:color w:val="auto"/>
              </w:rPr>
            </w:pPr>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730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Pension benefit obligations:</w:t>
            </w: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300" w:type="dxa"/>
            <w:vAlign w:val="bottom"/>
            <w:gridSpan w:val="2"/>
          </w:tcPr>
          <w:p>
            <w:pPr>
              <w:ind w:left="360"/>
              <w:spacing w:after="0"/>
              <w:rPr>
                <w:sz w:val="20"/>
                <w:szCs w:val="20"/>
                <w:color w:val="auto"/>
              </w:rPr>
            </w:pPr>
            <w:r>
              <w:rPr>
                <w:rFonts w:ascii="Arial" w:cs="Arial" w:eastAsia="Arial" w:hAnsi="Arial"/>
                <w:sz w:val="17"/>
                <w:szCs w:val="17"/>
                <w:color w:val="auto"/>
              </w:rPr>
              <w:t>Remeasurement losses of pension benefit obligations</w:t>
            </w:r>
          </w:p>
        </w:tc>
        <w:tc>
          <w:tcPr>
            <w:tcW w:w="140" w:type="dxa"/>
            <w:vAlign w:val="bottom"/>
          </w:tcPr>
          <w:p>
            <w:pPr>
              <w:spacing w:after="0"/>
              <w:rPr>
                <w:sz w:val="18"/>
                <w:szCs w:val="18"/>
                <w:color w:val="auto"/>
              </w:rPr>
            </w:pPr>
          </w:p>
        </w:tc>
        <w:tc>
          <w:tcPr>
            <w:tcW w:w="780" w:type="dxa"/>
            <w:vAlign w:val="bottom"/>
            <w:gridSpan w:val="3"/>
          </w:tcPr>
          <w:p>
            <w:pPr>
              <w:jc w:val="right"/>
              <w:ind w:right="100"/>
              <w:spacing w:after="0"/>
              <w:rPr>
                <w:sz w:val="20"/>
                <w:szCs w:val="20"/>
                <w:color w:val="auto"/>
              </w:rPr>
            </w:pPr>
            <w:r>
              <w:rPr>
                <w:rFonts w:ascii="Arial" w:cs="Arial" w:eastAsia="Arial" w:hAnsi="Arial"/>
                <w:sz w:val="17"/>
                <w:szCs w:val="17"/>
                <w:b w:val="1"/>
                <w:bCs w:val="1"/>
                <w:color w:val="auto"/>
              </w:rPr>
              <w:t>(32)</w:t>
            </w:r>
          </w:p>
        </w:tc>
        <w:tc>
          <w:tcPr>
            <w:tcW w:w="140" w:type="dxa"/>
            <w:vAlign w:val="bottom"/>
          </w:tcPr>
          <w:p>
            <w:pPr>
              <w:spacing w:after="0"/>
              <w:rPr>
                <w:sz w:val="18"/>
                <w:szCs w:val="18"/>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7"/>
                <w:szCs w:val="17"/>
                <w:color w:val="auto"/>
              </w:rPr>
              <w:t>(206)</w:t>
            </w:r>
          </w:p>
        </w:tc>
        <w:tc>
          <w:tcPr>
            <w:tcW w:w="0" w:type="dxa"/>
            <w:vAlign w:val="bottom"/>
          </w:tcPr>
          <w:p>
            <w:pPr>
              <w:spacing w:after="0"/>
              <w:rPr>
                <w:sz w:val="1"/>
                <w:szCs w:val="1"/>
                <w:color w:val="auto"/>
              </w:rPr>
            </w:pPr>
          </w:p>
        </w:tc>
      </w:tr>
      <w:tr>
        <w:trPr>
          <w:trHeight w:val="210"/>
        </w:trPr>
        <w:tc>
          <w:tcPr>
            <w:tcW w:w="7300" w:type="dxa"/>
            <w:vAlign w:val="bottom"/>
            <w:gridSpan w:val="2"/>
            <w:shd w:val="clear" w:color="auto" w:fill="CCEEFF"/>
          </w:tcPr>
          <w:p>
            <w:pPr>
              <w:ind w:left="360"/>
              <w:spacing w:after="0"/>
              <w:rPr>
                <w:sz w:val="20"/>
                <w:szCs w:val="20"/>
                <w:color w:val="auto"/>
              </w:rPr>
            </w:pPr>
            <w:r>
              <w:rPr>
                <w:rFonts w:ascii="Arial" w:cs="Arial" w:eastAsia="Arial" w:hAnsi="Arial"/>
                <w:sz w:val="17"/>
                <w:szCs w:val="17"/>
                <w:color w:val="auto"/>
              </w:rPr>
              <w:t>Income tax impact</w:t>
            </w: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8</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55</w:t>
            </w: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6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1140" w:type="dxa"/>
            <w:vAlign w:val="bottom"/>
          </w:tcPr>
          <w:p>
            <w:pPr>
              <w:spacing w:after="0"/>
              <w:rPr>
                <w:sz w:val="19"/>
                <w:szCs w:val="19"/>
                <w:color w:val="auto"/>
              </w:rPr>
            </w:pPr>
          </w:p>
        </w:tc>
        <w:tc>
          <w:tcPr>
            <w:tcW w:w="616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(24)</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(151)</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73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Other comprehensive income (loss) for the period</w:t>
            </w: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b w:val="1"/>
                <w:bCs w:val="1"/>
                <w:color w:val="auto"/>
              </w:rPr>
              <w:t>25,305</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(8,278)</w:t>
            </w:r>
          </w:p>
        </w:tc>
        <w:tc>
          <w:tcPr>
            <w:tcW w:w="0" w:type="dxa"/>
            <w:vAlign w:val="bottom"/>
          </w:tcPr>
          <w:p>
            <w:pPr>
              <w:spacing w:after="0"/>
              <w:rPr>
                <w:sz w:val="1"/>
                <w:szCs w:val="1"/>
                <w:color w:val="auto"/>
              </w:rPr>
            </w:pPr>
          </w:p>
        </w:tc>
      </w:tr>
      <w:tr>
        <w:trPr>
          <w:trHeight w:val="26"/>
        </w:trPr>
        <w:tc>
          <w:tcPr>
            <w:tcW w:w="7300" w:type="dxa"/>
            <w:vAlign w:val="bottom"/>
            <w:gridSpan w:val="2"/>
            <w:vMerge w:val="restart"/>
          </w:tcPr>
          <w:p>
            <w:pPr>
              <w:ind w:left="20"/>
              <w:spacing w:after="0"/>
              <w:rPr>
                <w:sz w:val="20"/>
                <w:szCs w:val="20"/>
                <w:color w:val="auto"/>
              </w:rPr>
            </w:pPr>
            <w:r>
              <w:rPr>
                <w:rFonts w:ascii="Arial" w:cs="Arial" w:eastAsia="Arial" w:hAnsi="Arial"/>
                <w:sz w:val="17"/>
                <w:szCs w:val="17"/>
                <w:color w:val="auto"/>
              </w:rPr>
              <w:t>Comprehensive income for the period</w:t>
            </w:r>
          </w:p>
        </w:tc>
        <w:tc>
          <w:tcPr>
            <w:tcW w:w="14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7300" w:type="dxa"/>
            <w:vAlign w:val="bottom"/>
            <w:gridSpan w:val="2"/>
            <w:vMerge w:val="continue"/>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53,093</w:t>
            </w:r>
          </w:p>
        </w:tc>
        <w:tc>
          <w:tcPr>
            <w:tcW w:w="20" w:type="dxa"/>
            <w:vAlign w:val="bottom"/>
            <w:tcBorders>
              <w:bottom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20,465</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6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1"/>
        </w:trPr>
        <w:tc>
          <w:tcPr>
            <w:tcW w:w="1140" w:type="dxa"/>
            <w:vAlign w:val="bottom"/>
            <w:tcBorders>
              <w:bottom w:val="single" w:sz="8" w:color="auto"/>
            </w:tcBorders>
          </w:tcPr>
          <w:p>
            <w:pPr>
              <w:spacing w:after="0"/>
              <w:rPr>
                <w:sz w:val="7"/>
                <w:szCs w:val="7"/>
                <w:color w:val="auto"/>
              </w:rPr>
            </w:pPr>
          </w:p>
        </w:tc>
        <w:tc>
          <w:tcPr>
            <w:tcW w:w="61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tcPr>
          <w:p>
            <w:pPr>
              <w:spacing w:after="0"/>
              <w:rPr>
                <w:sz w:val="7"/>
                <w:szCs w:val="7"/>
                <w:color w:val="auto"/>
              </w:rPr>
            </w:pPr>
          </w:p>
        </w:tc>
        <w:tc>
          <w:tcPr>
            <w:tcW w:w="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tcPr>
          <w:p>
            <w:pPr>
              <w:spacing w:after="0"/>
              <w:rPr>
                <w:sz w:val="7"/>
                <w:szCs w:val="7"/>
                <w:color w:val="auto"/>
              </w:rPr>
            </w:pPr>
          </w:p>
        </w:tc>
        <w:tc>
          <w:tcPr>
            <w:tcW w:w="1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3"/>
          <w:szCs w:val="13"/>
          <w:color w:val="auto"/>
        </w:rPr>
        <w:t>Note:</w:t>
      </w:r>
    </w:p>
    <w:p>
      <w:pPr>
        <w:spacing w:after="0" w:line="191" w:lineRule="exact"/>
        <w:rPr>
          <w:sz w:val="20"/>
          <w:szCs w:val="20"/>
          <w:color w:val="auto"/>
        </w:rPr>
      </w:pPr>
    </w:p>
    <w:p>
      <w:pPr>
        <w:ind w:left="540" w:hanging="533"/>
        <w:spacing w:after="0"/>
        <w:tabs>
          <w:tab w:leader="none" w:pos="540" w:val="left"/>
        </w:tabs>
        <w:numPr>
          <w:ilvl w:val="0"/>
          <w:numId w:val="7"/>
        </w:numPr>
        <w:rPr>
          <w:rFonts w:ascii="Arial" w:cs="Arial" w:eastAsia="Arial" w:hAnsi="Arial"/>
          <w:sz w:val="13"/>
          <w:szCs w:val="13"/>
          <w:color w:val="auto"/>
        </w:rPr>
      </w:pPr>
      <w:r>
        <w:rPr>
          <w:rFonts w:ascii="Arial" w:cs="Arial" w:eastAsia="Arial" w:hAnsi="Arial"/>
          <w:sz w:val="13"/>
          <w:szCs w:val="13"/>
          <w:color w:val="auto"/>
        </w:rPr>
        <w:t>Exclusive of amortization, which is shown separately.</w:t>
      </w: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7"/>
          <w:szCs w:val="17"/>
          <w:i w:val="1"/>
          <w:iCs w:val="1"/>
          <w:color w:val="auto"/>
        </w:rPr>
        <w:t>See accompanying notes</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120"/>
          </w:cols>
          <w:pgMar w:left="1380" w:top="337" w:right="1399" w:bottom="1440" w:gutter="0" w:footer="0" w:header="0"/>
        </w:sectPr>
      </w:pPr>
    </w:p>
    <w:bookmarkStart w:id="31" w:name="page32"/>
    <w:bookmarkEnd w:id="31"/>
    <w:p>
      <w:pPr>
        <w:jc w:val="center"/>
        <w:ind w:right="100"/>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CONDENSED INTERIM CONSOLIDATED STATEMENTS OF EQUITY</w:t>
      </w:r>
    </w:p>
    <w:p>
      <w:pPr>
        <w:spacing w:after="0" w:line="14"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(thousands of United States dollars, except share and per share amounts)</w:t>
      </w:r>
    </w:p>
    <w:p>
      <w:pPr>
        <w:spacing w:after="0" w:line="14" w:lineRule="exact"/>
        <w:rPr>
          <w:sz w:val="20"/>
          <w:szCs w:val="20"/>
          <w:color w:val="auto"/>
        </w:rPr>
      </w:pPr>
    </w:p>
    <w:p>
      <w:pPr>
        <w:jc w:val="center"/>
        <w:ind w:right="140"/>
        <w:spacing w:after="0"/>
        <w:rPr>
          <w:sz w:val="20"/>
          <w:szCs w:val="20"/>
          <w:color w:val="auto"/>
        </w:rPr>
      </w:pPr>
      <w:r>
        <w:rPr>
          <w:rFonts w:ascii="Arial" w:cs="Arial" w:eastAsia="Arial" w:hAnsi="Arial"/>
          <w:sz w:val="17"/>
          <w:szCs w:val="17"/>
          <w:b w:val="1"/>
          <w:bCs w:val="1"/>
          <w:color w:val="auto"/>
        </w:rPr>
        <w:t>(Unaudited)</w:t>
      </w:r>
    </w:p>
    <w:p>
      <w:pPr>
        <w:spacing w:after="0" w:line="35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700" w:type="dxa"/>
            <w:vAlign w:val="bottom"/>
          </w:tcPr>
          <w:p>
            <w:pPr>
              <w:spacing w:after="0"/>
              <w:rPr>
                <w:sz w:val="13"/>
                <w:szCs w:val="13"/>
                <w:color w:val="auto"/>
              </w:rPr>
            </w:pPr>
          </w:p>
        </w:tc>
        <w:tc>
          <w:tcPr>
            <w:tcW w:w="1860" w:type="dxa"/>
            <w:vAlign w:val="bottom"/>
            <w:gridSpan w:val="6"/>
            <w:vMerge w:val="restart"/>
          </w:tcPr>
          <w:p>
            <w:pPr>
              <w:jc w:val="right"/>
              <w:ind w:right="540"/>
              <w:spacing w:after="0"/>
              <w:rPr>
                <w:sz w:val="20"/>
                <w:szCs w:val="20"/>
                <w:color w:val="auto"/>
              </w:rPr>
            </w:pPr>
            <w:r>
              <w:rPr>
                <w:rFonts w:ascii="Arial" w:cs="Arial" w:eastAsia="Arial" w:hAnsi="Arial"/>
                <w:sz w:val="13"/>
                <w:szCs w:val="13"/>
                <w:b w:val="1"/>
                <w:bCs w:val="1"/>
                <w:color w:val="auto"/>
              </w:rPr>
              <w:t>Common Shares</w:t>
            </w:r>
          </w:p>
        </w:tc>
        <w:tc>
          <w:tcPr>
            <w:tcW w:w="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0"/>
              </w:rPr>
              <w:t>Accumulated</w:t>
            </w: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79"/>
        </w:trPr>
        <w:tc>
          <w:tcPr>
            <w:tcW w:w="2700" w:type="dxa"/>
            <w:vAlign w:val="bottom"/>
          </w:tcPr>
          <w:p>
            <w:pPr>
              <w:spacing w:after="0"/>
              <w:rPr>
                <w:sz w:val="6"/>
                <w:szCs w:val="6"/>
                <w:color w:val="auto"/>
              </w:rPr>
            </w:pPr>
          </w:p>
        </w:tc>
        <w:tc>
          <w:tcPr>
            <w:tcW w:w="1860" w:type="dxa"/>
            <w:vAlign w:val="bottom"/>
            <w:gridSpan w:val="6"/>
            <w:vMerge w:val="continue"/>
          </w:tcPr>
          <w:p>
            <w:pPr>
              <w:spacing w:after="0"/>
              <w:rPr>
                <w:sz w:val="6"/>
                <w:szCs w:val="6"/>
                <w:color w:val="auto"/>
              </w:rPr>
            </w:pPr>
          </w:p>
        </w:tc>
        <w:tc>
          <w:tcPr>
            <w:tcW w:w="80" w:type="dxa"/>
            <w:vAlign w:val="bottom"/>
          </w:tcPr>
          <w:p>
            <w:pPr>
              <w:spacing w:after="0"/>
              <w:rPr>
                <w:sz w:val="6"/>
                <w:szCs w:val="6"/>
                <w:color w:val="auto"/>
              </w:rPr>
            </w:pPr>
          </w:p>
        </w:tc>
        <w:tc>
          <w:tcPr>
            <w:tcW w:w="540" w:type="dxa"/>
            <w:vAlign w:val="bottom"/>
          </w:tcPr>
          <w:p>
            <w:pPr>
              <w:spacing w:after="0"/>
              <w:rPr>
                <w:sz w:val="6"/>
                <w:szCs w:val="6"/>
                <w:color w:val="auto"/>
              </w:rPr>
            </w:pPr>
          </w:p>
        </w:tc>
        <w:tc>
          <w:tcPr>
            <w:tcW w:w="160" w:type="dxa"/>
            <w:vAlign w:val="bottom"/>
          </w:tcPr>
          <w:p>
            <w:pPr>
              <w:spacing w:after="0"/>
              <w:rPr>
                <w:sz w:val="6"/>
                <w:szCs w:val="6"/>
                <w:color w:val="auto"/>
              </w:rPr>
            </w:pPr>
          </w:p>
        </w:tc>
        <w:tc>
          <w:tcPr>
            <w:tcW w:w="140" w:type="dxa"/>
            <w:vAlign w:val="bottom"/>
          </w:tcPr>
          <w:p>
            <w:pPr>
              <w:spacing w:after="0"/>
              <w:rPr>
                <w:sz w:val="6"/>
                <w:szCs w:val="6"/>
                <w:color w:val="auto"/>
              </w:rPr>
            </w:pPr>
          </w:p>
        </w:tc>
        <w:tc>
          <w:tcPr>
            <w:tcW w:w="7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20" w:type="dxa"/>
            <w:vAlign w:val="bottom"/>
          </w:tcPr>
          <w:p>
            <w:pPr>
              <w:spacing w:after="0"/>
              <w:rPr>
                <w:sz w:val="6"/>
                <w:szCs w:val="6"/>
                <w:color w:val="auto"/>
              </w:rPr>
            </w:pPr>
          </w:p>
        </w:tc>
        <w:tc>
          <w:tcPr>
            <w:tcW w:w="56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80" w:type="dxa"/>
            <w:vAlign w:val="bottom"/>
            <w:gridSpan w:val="2"/>
            <w:vMerge w:val="restart"/>
          </w:tcPr>
          <w:p>
            <w:pPr>
              <w:jc w:val="center"/>
              <w:ind w:right="260"/>
              <w:spacing w:after="0" w:line="144" w:lineRule="exact"/>
              <w:rPr>
                <w:sz w:val="20"/>
                <w:szCs w:val="20"/>
                <w:color w:val="auto"/>
              </w:rPr>
            </w:pPr>
            <w:r>
              <w:rPr>
                <w:rFonts w:ascii="Arial" w:cs="Arial" w:eastAsia="Arial" w:hAnsi="Arial"/>
                <w:sz w:val="13"/>
                <w:szCs w:val="13"/>
                <w:b w:val="1"/>
                <w:bCs w:val="1"/>
                <w:color w:val="auto"/>
                <w:w w:val="97"/>
              </w:rPr>
              <w:t>Other</w:t>
            </w: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6"/>
        </w:trPr>
        <w:tc>
          <w:tcPr>
            <w:tcW w:w="2700" w:type="dxa"/>
            <w:vAlign w:val="bottom"/>
          </w:tcPr>
          <w:p>
            <w:pPr>
              <w:spacing w:after="0"/>
              <w:rPr>
                <w:sz w:val="5"/>
                <w:szCs w:val="5"/>
                <w:color w:val="auto"/>
              </w:rPr>
            </w:pPr>
          </w:p>
        </w:tc>
        <w:tc>
          <w:tcPr>
            <w:tcW w:w="1860" w:type="dxa"/>
            <w:vAlign w:val="bottom"/>
            <w:gridSpan w:val="6"/>
            <w:vMerge w:val="restart"/>
          </w:tcPr>
          <w:p>
            <w:pPr>
              <w:jc w:val="right"/>
              <w:ind w:right="680"/>
              <w:spacing w:after="0"/>
              <w:rPr>
                <w:sz w:val="20"/>
                <w:szCs w:val="20"/>
                <w:color w:val="auto"/>
              </w:rPr>
            </w:pPr>
            <w:r>
              <w:rPr>
                <w:rFonts w:ascii="Arial" w:cs="Arial" w:eastAsia="Arial" w:hAnsi="Arial"/>
                <w:sz w:val="13"/>
                <w:szCs w:val="13"/>
                <w:b w:val="1"/>
                <w:bCs w:val="1"/>
                <w:color w:val="auto"/>
              </w:rPr>
              <w:t>Oustanding</w:t>
            </w:r>
          </w:p>
        </w:tc>
        <w:tc>
          <w:tcPr>
            <w:tcW w:w="80" w:type="dxa"/>
            <w:vAlign w:val="bottom"/>
          </w:tcPr>
          <w:p>
            <w:pPr>
              <w:spacing w:after="0"/>
              <w:rPr>
                <w:sz w:val="5"/>
                <w:szCs w:val="5"/>
                <w:color w:val="auto"/>
              </w:rPr>
            </w:pPr>
          </w:p>
        </w:tc>
        <w:tc>
          <w:tcPr>
            <w:tcW w:w="540" w:type="dxa"/>
            <w:vAlign w:val="bottom"/>
          </w:tcPr>
          <w:p>
            <w:pPr>
              <w:spacing w:after="0"/>
              <w:rPr>
                <w:sz w:val="5"/>
                <w:szCs w:val="5"/>
                <w:color w:val="auto"/>
              </w:rPr>
            </w:pPr>
          </w:p>
        </w:tc>
        <w:tc>
          <w:tcPr>
            <w:tcW w:w="160" w:type="dxa"/>
            <w:vAlign w:val="bottom"/>
          </w:tcPr>
          <w:p>
            <w:pPr>
              <w:spacing w:after="0"/>
              <w:rPr>
                <w:sz w:val="5"/>
                <w:szCs w:val="5"/>
                <w:color w:val="auto"/>
              </w:rPr>
            </w:pPr>
          </w:p>
        </w:tc>
        <w:tc>
          <w:tcPr>
            <w:tcW w:w="140" w:type="dxa"/>
            <w:vAlign w:val="bottom"/>
          </w:tcPr>
          <w:p>
            <w:pPr>
              <w:spacing w:after="0"/>
              <w:rPr>
                <w:sz w:val="5"/>
                <w:szCs w:val="5"/>
                <w:color w:val="auto"/>
              </w:rPr>
            </w:pPr>
          </w:p>
        </w:tc>
        <w:tc>
          <w:tcPr>
            <w:tcW w:w="700" w:type="dxa"/>
            <w:vAlign w:val="bottom"/>
          </w:tcPr>
          <w:p>
            <w:pPr>
              <w:spacing w:after="0"/>
              <w:rPr>
                <w:sz w:val="5"/>
                <w:szCs w:val="5"/>
                <w:color w:val="auto"/>
              </w:rPr>
            </w:pPr>
          </w:p>
        </w:tc>
        <w:tc>
          <w:tcPr>
            <w:tcW w:w="160" w:type="dxa"/>
            <w:vAlign w:val="bottom"/>
          </w:tcPr>
          <w:p>
            <w:pPr>
              <w:spacing w:after="0"/>
              <w:rPr>
                <w:sz w:val="5"/>
                <w:szCs w:val="5"/>
                <w:color w:val="auto"/>
              </w:rPr>
            </w:pPr>
          </w:p>
        </w:tc>
        <w:tc>
          <w:tcPr>
            <w:tcW w:w="120" w:type="dxa"/>
            <w:vAlign w:val="bottom"/>
          </w:tcPr>
          <w:p>
            <w:pPr>
              <w:spacing w:after="0"/>
              <w:rPr>
                <w:sz w:val="5"/>
                <w:szCs w:val="5"/>
                <w:color w:val="auto"/>
              </w:rPr>
            </w:pPr>
          </w:p>
        </w:tc>
        <w:tc>
          <w:tcPr>
            <w:tcW w:w="56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tcPr>
          <w:p>
            <w:pPr>
              <w:spacing w:after="0"/>
              <w:rPr>
                <w:sz w:val="5"/>
                <w:szCs w:val="5"/>
                <w:color w:val="auto"/>
              </w:rPr>
            </w:pPr>
          </w:p>
        </w:tc>
        <w:tc>
          <w:tcPr>
            <w:tcW w:w="1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1"/>
        </w:trPr>
        <w:tc>
          <w:tcPr>
            <w:tcW w:w="2700" w:type="dxa"/>
            <w:vAlign w:val="bottom"/>
          </w:tcPr>
          <w:p>
            <w:pPr>
              <w:spacing w:after="0"/>
              <w:rPr>
                <w:sz w:val="7"/>
                <w:szCs w:val="7"/>
                <w:color w:val="auto"/>
              </w:rPr>
            </w:pPr>
          </w:p>
        </w:tc>
        <w:tc>
          <w:tcPr>
            <w:tcW w:w="1860" w:type="dxa"/>
            <w:vAlign w:val="bottom"/>
            <w:gridSpan w:val="6"/>
            <w:vMerge w:val="continue"/>
          </w:tcPr>
          <w:p>
            <w:pPr>
              <w:spacing w:after="0"/>
              <w:rPr>
                <w:sz w:val="7"/>
                <w:szCs w:val="7"/>
                <w:color w:val="auto"/>
              </w:rPr>
            </w:pPr>
          </w:p>
        </w:tc>
        <w:tc>
          <w:tcPr>
            <w:tcW w:w="80" w:type="dxa"/>
            <w:vAlign w:val="bottom"/>
          </w:tcPr>
          <w:p>
            <w:pPr>
              <w:spacing w:after="0"/>
              <w:rPr>
                <w:sz w:val="7"/>
                <w:szCs w:val="7"/>
                <w:color w:val="auto"/>
              </w:rPr>
            </w:pPr>
          </w:p>
        </w:tc>
        <w:tc>
          <w:tcPr>
            <w:tcW w:w="700" w:type="dxa"/>
            <w:vAlign w:val="bottom"/>
            <w:gridSpan w:val="2"/>
            <w:vMerge w:val="restart"/>
          </w:tcPr>
          <w:p>
            <w:pPr>
              <w:jc w:val="right"/>
              <w:ind w:right="320"/>
              <w:spacing w:after="0" w:line="144" w:lineRule="exact"/>
              <w:rPr>
                <w:sz w:val="20"/>
                <w:szCs w:val="20"/>
                <w:color w:val="auto"/>
              </w:rPr>
            </w:pPr>
            <w:r>
              <w:rPr>
                <w:rFonts w:ascii="Arial" w:cs="Arial" w:eastAsia="Arial" w:hAnsi="Arial"/>
                <w:sz w:val="13"/>
                <w:szCs w:val="13"/>
                <w:b w:val="1"/>
                <w:bCs w:val="1"/>
                <w:color w:val="auto"/>
              </w:rPr>
              <w:t>Stock</w:t>
            </w:r>
          </w:p>
        </w:tc>
        <w:tc>
          <w:tcPr>
            <w:tcW w:w="1000" w:type="dxa"/>
            <w:vAlign w:val="bottom"/>
            <w:gridSpan w:val="3"/>
            <w:vMerge w:val="restart"/>
          </w:tcPr>
          <w:p>
            <w:pPr>
              <w:jc w:val="right"/>
              <w:ind w:right="240"/>
              <w:spacing w:after="0" w:line="144" w:lineRule="exact"/>
              <w:rPr>
                <w:sz w:val="20"/>
                <w:szCs w:val="20"/>
                <w:color w:val="auto"/>
              </w:rPr>
            </w:pPr>
            <w:r>
              <w:rPr>
                <w:rFonts w:ascii="Arial" w:cs="Arial" w:eastAsia="Arial" w:hAnsi="Arial"/>
                <w:sz w:val="13"/>
                <w:szCs w:val="13"/>
                <w:b w:val="1"/>
                <w:bCs w:val="1"/>
                <w:color w:val="auto"/>
              </w:rPr>
              <w:t>Contributed</w:t>
            </w:r>
          </w:p>
        </w:tc>
        <w:tc>
          <w:tcPr>
            <w:tcW w:w="120" w:type="dxa"/>
            <w:vAlign w:val="bottom"/>
          </w:tcPr>
          <w:p>
            <w:pPr>
              <w:spacing w:after="0"/>
              <w:rPr>
                <w:sz w:val="7"/>
                <w:szCs w:val="7"/>
                <w:color w:val="auto"/>
              </w:rPr>
            </w:pPr>
          </w:p>
        </w:tc>
        <w:tc>
          <w:tcPr>
            <w:tcW w:w="560" w:type="dxa"/>
            <w:vAlign w:val="bottom"/>
          </w:tcPr>
          <w:p>
            <w:pPr>
              <w:spacing w:after="0"/>
              <w:rPr>
                <w:sz w:val="7"/>
                <w:szCs w:val="7"/>
                <w:color w:val="auto"/>
              </w:rPr>
            </w:pPr>
          </w:p>
        </w:tc>
        <w:tc>
          <w:tcPr>
            <w:tcW w:w="160" w:type="dxa"/>
            <w:vAlign w:val="bottom"/>
          </w:tcPr>
          <w:p>
            <w:pPr>
              <w:spacing w:after="0"/>
              <w:rPr>
                <w:sz w:val="7"/>
                <w:szCs w:val="7"/>
                <w:color w:val="auto"/>
              </w:rPr>
            </w:pPr>
          </w:p>
        </w:tc>
        <w:tc>
          <w:tcPr>
            <w:tcW w:w="1180" w:type="dxa"/>
            <w:vAlign w:val="bottom"/>
            <w:gridSpan w:val="3"/>
            <w:vMerge w:val="restart"/>
          </w:tcPr>
          <w:p>
            <w:pPr>
              <w:jc w:val="center"/>
              <w:ind w:right="160"/>
              <w:spacing w:after="0" w:line="144" w:lineRule="exact"/>
              <w:rPr>
                <w:sz w:val="20"/>
                <w:szCs w:val="20"/>
                <w:color w:val="auto"/>
              </w:rPr>
            </w:pPr>
            <w:r>
              <w:rPr>
                <w:rFonts w:ascii="Arial" w:cs="Arial" w:eastAsia="Arial" w:hAnsi="Arial"/>
                <w:sz w:val="13"/>
                <w:szCs w:val="13"/>
                <w:b w:val="1"/>
                <w:bCs w:val="1"/>
                <w:color w:val="auto"/>
                <w:w w:val="88"/>
              </w:rPr>
              <w:t>Comprehensive</w:t>
            </w:r>
          </w:p>
        </w:tc>
        <w:tc>
          <w:tcPr>
            <w:tcW w:w="120" w:type="dxa"/>
            <w:vAlign w:val="bottom"/>
          </w:tcPr>
          <w:p>
            <w:pPr>
              <w:spacing w:after="0"/>
              <w:rPr>
                <w:sz w:val="7"/>
                <w:szCs w:val="7"/>
                <w:color w:val="auto"/>
              </w:rPr>
            </w:pPr>
          </w:p>
        </w:tc>
        <w:tc>
          <w:tcPr>
            <w:tcW w:w="760" w:type="dxa"/>
            <w:vAlign w:val="bottom"/>
            <w:gridSpan w:val="2"/>
            <w:vMerge w:val="restart"/>
          </w:tcPr>
          <w:p>
            <w:pPr>
              <w:jc w:val="right"/>
              <w:ind w:right="380"/>
              <w:spacing w:after="0" w:line="144" w:lineRule="exact"/>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33"/>
        </w:trPr>
        <w:tc>
          <w:tcPr>
            <w:tcW w:w="2700" w:type="dxa"/>
            <w:vAlign w:val="bottom"/>
          </w:tcPr>
          <w:p>
            <w:pPr>
              <w:spacing w:after="0"/>
              <w:rPr>
                <w:sz w:val="2"/>
                <w:szCs w:val="2"/>
                <w:color w:val="auto"/>
              </w:rPr>
            </w:pPr>
          </w:p>
        </w:tc>
        <w:tc>
          <w:tcPr>
            <w:tcW w:w="800" w:type="dxa"/>
            <w:vAlign w:val="bottom"/>
            <w:tcBorders>
              <w:top w:val="single" w:sz="8" w:color="auto"/>
            </w:tcBorders>
          </w:tcPr>
          <w:p>
            <w:pPr>
              <w:spacing w:after="0"/>
              <w:rPr>
                <w:sz w:val="2"/>
                <w:szCs w:val="2"/>
                <w:color w:val="auto"/>
              </w:rPr>
            </w:pPr>
          </w:p>
        </w:tc>
        <w:tc>
          <w:tcPr>
            <w:tcW w:w="20" w:type="dxa"/>
            <w:vAlign w:val="bottom"/>
            <w:tcBorders>
              <w:top w:val="single" w:sz="8" w:color="auto"/>
            </w:tcBorders>
          </w:tcPr>
          <w:p>
            <w:pPr>
              <w:spacing w:after="0"/>
              <w:rPr>
                <w:sz w:val="2"/>
                <w:szCs w:val="2"/>
                <w:color w:val="auto"/>
              </w:rPr>
            </w:pPr>
          </w:p>
        </w:tc>
        <w:tc>
          <w:tcPr>
            <w:tcW w:w="140" w:type="dxa"/>
            <w:vAlign w:val="bottom"/>
            <w:tcBorders>
              <w:top w:val="single" w:sz="8" w:color="auto"/>
            </w:tcBorders>
          </w:tcPr>
          <w:p>
            <w:pPr>
              <w:spacing w:after="0"/>
              <w:rPr>
                <w:sz w:val="2"/>
                <w:szCs w:val="2"/>
                <w:color w:val="auto"/>
              </w:rPr>
            </w:pPr>
          </w:p>
        </w:tc>
        <w:tc>
          <w:tcPr>
            <w:tcW w:w="120" w:type="dxa"/>
            <w:vAlign w:val="bottom"/>
            <w:tcBorders>
              <w:top w:val="single" w:sz="8" w:color="auto"/>
            </w:tcBorders>
          </w:tcPr>
          <w:p>
            <w:pPr>
              <w:spacing w:after="0"/>
              <w:rPr>
                <w:sz w:val="2"/>
                <w:szCs w:val="2"/>
                <w:color w:val="auto"/>
              </w:rPr>
            </w:pPr>
          </w:p>
        </w:tc>
        <w:tc>
          <w:tcPr>
            <w:tcW w:w="620" w:type="dxa"/>
            <w:vAlign w:val="bottom"/>
            <w:tcBorders>
              <w:top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gridSpan w:val="2"/>
            <w:vMerge w:val="continue"/>
          </w:tcPr>
          <w:p>
            <w:pPr>
              <w:spacing w:after="0"/>
              <w:rPr>
                <w:sz w:val="2"/>
                <w:szCs w:val="2"/>
                <w:color w:val="auto"/>
              </w:rPr>
            </w:pPr>
          </w:p>
        </w:tc>
        <w:tc>
          <w:tcPr>
            <w:tcW w:w="1000" w:type="dxa"/>
            <w:vAlign w:val="bottom"/>
            <w:gridSpan w:val="3"/>
            <w:vMerge w:val="continue"/>
          </w:tcPr>
          <w:p>
            <w:pPr>
              <w:spacing w:after="0"/>
              <w:rPr>
                <w:sz w:val="2"/>
                <w:szCs w:val="2"/>
                <w:color w:val="auto"/>
              </w:rPr>
            </w:pPr>
          </w:p>
        </w:tc>
        <w:tc>
          <w:tcPr>
            <w:tcW w:w="1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gridSpan w:val="3"/>
            <w:vMerge w:val="continue"/>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gridSpan w:val="2"/>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7"/>
        </w:trPr>
        <w:tc>
          <w:tcPr>
            <w:tcW w:w="2700" w:type="dxa"/>
            <w:vAlign w:val="bottom"/>
          </w:tcPr>
          <w:p>
            <w:pPr>
              <w:spacing w:after="0"/>
              <w:rPr>
                <w:sz w:val="13"/>
                <w:szCs w:val="13"/>
                <w:color w:val="auto"/>
              </w:rPr>
            </w:pPr>
          </w:p>
        </w:tc>
        <w:tc>
          <w:tcPr>
            <w:tcW w:w="800" w:type="dxa"/>
            <w:vAlign w:val="bottom"/>
            <w:tcBorders>
              <w:bottom w:val="single" w:sz="8" w:color="auto"/>
            </w:tcBorders>
          </w:tcPr>
          <w:p>
            <w:pPr>
              <w:jc w:val="right"/>
              <w:ind w:right="134"/>
              <w:spacing w:after="0"/>
              <w:rPr>
                <w:sz w:val="20"/>
                <w:szCs w:val="20"/>
                <w:color w:val="auto"/>
              </w:rPr>
            </w:pPr>
            <w:r>
              <w:rPr>
                <w:rFonts w:ascii="Arial" w:cs="Arial" w:eastAsia="Arial" w:hAnsi="Arial"/>
                <w:sz w:val="13"/>
                <w:szCs w:val="13"/>
                <w:b w:val="1"/>
                <w:bCs w:val="1"/>
                <w:color w:val="auto"/>
              </w:rPr>
              <w:t>Shares</w:t>
            </w:r>
          </w:p>
        </w:tc>
        <w:tc>
          <w:tcPr>
            <w:tcW w:w="160" w:type="dxa"/>
            <w:vAlign w:val="bottom"/>
            <w:gridSpan w:val="2"/>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jc w:val="right"/>
              <w:ind w:right="74"/>
              <w:spacing w:after="0"/>
              <w:rPr>
                <w:sz w:val="20"/>
                <w:szCs w:val="20"/>
                <w:color w:val="auto"/>
              </w:rPr>
            </w:pPr>
            <w:r>
              <w:rPr>
                <w:rFonts w:ascii="Arial" w:cs="Arial" w:eastAsia="Arial" w:hAnsi="Arial"/>
                <w:sz w:val="13"/>
                <w:szCs w:val="13"/>
                <w:b w:val="1"/>
                <w:bCs w:val="1"/>
                <w:color w:val="auto"/>
                <w:w w:val="93"/>
              </w:rPr>
              <w:t>Amount</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540" w:type="dxa"/>
            <w:vAlign w:val="bottom"/>
            <w:tcBorders>
              <w:bottom w:val="single" w:sz="8" w:color="auto"/>
            </w:tcBorders>
          </w:tcPr>
          <w:p>
            <w:pPr>
              <w:jc w:val="right"/>
              <w:ind w:right="14"/>
              <w:spacing w:after="0"/>
              <w:rPr>
                <w:sz w:val="20"/>
                <w:szCs w:val="20"/>
                <w:color w:val="auto"/>
              </w:rPr>
            </w:pPr>
            <w:r>
              <w:rPr>
                <w:rFonts w:ascii="Arial" w:cs="Arial" w:eastAsia="Arial" w:hAnsi="Arial"/>
                <w:sz w:val="13"/>
                <w:szCs w:val="13"/>
                <w:b w:val="1"/>
                <w:bCs w:val="1"/>
                <w:color w:val="auto"/>
                <w:w w:val="89"/>
              </w:rPr>
              <w:t>Options</w:t>
            </w:r>
          </w:p>
        </w:tc>
        <w:tc>
          <w:tcPr>
            <w:tcW w:w="16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700" w:type="dxa"/>
            <w:vAlign w:val="bottom"/>
            <w:tcBorders>
              <w:bottom w:val="single" w:sz="8" w:color="auto"/>
            </w:tcBorders>
          </w:tcPr>
          <w:p>
            <w:pPr>
              <w:jc w:val="right"/>
              <w:ind w:right="134"/>
              <w:spacing w:after="0"/>
              <w:rPr>
                <w:sz w:val="20"/>
                <w:szCs w:val="20"/>
                <w:color w:val="auto"/>
              </w:rPr>
            </w:pPr>
            <w:r>
              <w:rPr>
                <w:rFonts w:ascii="Arial" w:cs="Arial" w:eastAsia="Arial" w:hAnsi="Arial"/>
                <w:sz w:val="13"/>
                <w:szCs w:val="13"/>
                <w:b w:val="1"/>
                <w:bCs w:val="1"/>
                <w:color w:val="auto"/>
                <w:w w:val="99"/>
              </w:rPr>
              <w:t>Surplus</w:t>
            </w:r>
          </w:p>
        </w:tc>
        <w:tc>
          <w:tcPr>
            <w:tcW w:w="16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560" w:type="dxa"/>
            <w:vAlign w:val="bottom"/>
            <w:tcBorders>
              <w:bottom w:val="single" w:sz="8" w:color="auto"/>
            </w:tcBorders>
          </w:tcPr>
          <w:p>
            <w:pPr>
              <w:jc w:val="right"/>
              <w:ind w:right="94"/>
              <w:spacing w:after="0"/>
              <w:rPr>
                <w:sz w:val="20"/>
                <w:szCs w:val="20"/>
                <w:color w:val="auto"/>
              </w:rPr>
            </w:pPr>
            <w:r>
              <w:rPr>
                <w:rFonts w:ascii="Arial" w:cs="Arial" w:eastAsia="Arial" w:hAnsi="Arial"/>
                <w:sz w:val="13"/>
                <w:szCs w:val="13"/>
                <w:b w:val="1"/>
                <w:bCs w:val="1"/>
                <w:color w:val="auto"/>
                <w:w w:val="95"/>
              </w:rPr>
              <w:t>Deficit</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center"/>
              <w:ind w:right="34"/>
              <w:spacing w:after="0"/>
              <w:rPr>
                <w:sz w:val="20"/>
                <w:szCs w:val="20"/>
                <w:color w:val="auto"/>
              </w:rPr>
            </w:pPr>
            <w:r>
              <w:rPr>
                <w:rFonts w:ascii="Arial" w:cs="Arial" w:eastAsia="Arial" w:hAnsi="Arial"/>
                <w:sz w:val="13"/>
                <w:szCs w:val="13"/>
                <w:b w:val="1"/>
                <w:bCs w:val="1"/>
                <w:color w:val="auto"/>
                <w:w w:val="92"/>
              </w:rPr>
              <w:t>Income</w:t>
            </w:r>
          </w:p>
        </w:tc>
        <w:tc>
          <w:tcPr>
            <w:tcW w:w="16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jc w:val="right"/>
              <w:ind w:right="114"/>
              <w:spacing w:after="0"/>
              <w:rPr>
                <w:sz w:val="20"/>
                <w:szCs w:val="20"/>
                <w:color w:val="auto"/>
              </w:rPr>
            </w:pPr>
            <w:r>
              <w:rPr>
                <w:rFonts w:ascii="Arial" w:cs="Arial" w:eastAsia="Arial" w:hAnsi="Arial"/>
                <w:sz w:val="13"/>
                <w:szCs w:val="13"/>
                <w:b w:val="1"/>
                <w:bCs w:val="1"/>
                <w:color w:val="auto"/>
              </w:rPr>
              <w:t>Equity</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2700" w:type="dxa"/>
            <w:vAlign w:val="bottom"/>
            <w:shd w:val="clear" w:color="auto" w:fill="CCEEFF"/>
          </w:tcPr>
          <w:p>
            <w:pPr>
              <w:spacing w:after="0" w:line="138" w:lineRule="exact"/>
              <w:rPr>
                <w:sz w:val="20"/>
                <w:szCs w:val="20"/>
                <w:color w:val="auto"/>
              </w:rPr>
            </w:pPr>
            <w:r>
              <w:rPr>
                <w:rFonts w:ascii="Arial" w:cs="Arial" w:eastAsia="Arial" w:hAnsi="Arial"/>
                <w:sz w:val="13"/>
                <w:szCs w:val="13"/>
                <w:b w:val="1"/>
                <w:bCs w:val="1"/>
                <w:color w:val="auto"/>
              </w:rPr>
              <w:t>Balance December 31, 2014</w:t>
            </w:r>
          </w:p>
        </w:tc>
        <w:tc>
          <w:tcPr>
            <w:tcW w:w="820" w:type="dxa"/>
            <w:vAlign w:val="bottom"/>
            <w:gridSpan w:val="2"/>
            <w:shd w:val="clear" w:color="auto" w:fill="CCEEFF"/>
          </w:tcPr>
          <w:p>
            <w:pPr>
              <w:jc w:val="right"/>
              <w:ind w:right="20"/>
              <w:spacing w:after="0" w:line="138" w:lineRule="exact"/>
              <w:rPr>
                <w:sz w:val="20"/>
                <w:szCs w:val="20"/>
                <w:color w:val="auto"/>
              </w:rPr>
            </w:pPr>
            <w:r>
              <w:rPr>
                <w:rFonts w:ascii="Arial" w:cs="Arial" w:eastAsia="Arial" w:hAnsi="Arial"/>
                <w:sz w:val="13"/>
                <w:szCs w:val="13"/>
                <w:color w:val="auto"/>
              </w:rPr>
              <w:t>214,236,234</w:t>
            </w:r>
          </w:p>
        </w:tc>
        <w:tc>
          <w:tcPr>
            <w:tcW w:w="140" w:type="dxa"/>
            <w:vAlign w:val="bottom"/>
            <w:shd w:val="clear" w:color="auto" w:fill="CCEEFF"/>
          </w:tcPr>
          <w:p>
            <w:pPr>
              <w:spacing w:after="0"/>
              <w:rPr>
                <w:sz w:val="11"/>
                <w:szCs w:val="11"/>
                <w:color w:val="auto"/>
              </w:rPr>
            </w:pPr>
          </w:p>
        </w:tc>
        <w:tc>
          <w:tcPr>
            <w:tcW w:w="12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78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4,599,788</w:t>
            </w:r>
          </w:p>
        </w:tc>
        <w:tc>
          <w:tcPr>
            <w:tcW w:w="8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70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200,830</w:t>
            </w:r>
          </w:p>
        </w:tc>
        <w:tc>
          <w:tcPr>
            <w:tcW w:w="14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86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37,254</w:t>
            </w:r>
          </w:p>
        </w:tc>
        <w:tc>
          <w:tcPr>
            <w:tcW w:w="12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20"/>
              <w:spacing w:after="0" w:line="138" w:lineRule="exact"/>
              <w:rPr>
                <w:sz w:val="20"/>
                <w:szCs w:val="20"/>
                <w:color w:val="auto"/>
              </w:rPr>
            </w:pPr>
            <w:r>
              <w:rPr>
                <w:rFonts w:ascii="Arial" w:cs="Arial" w:eastAsia="Arial" w:hAnsi="Arial"/>
                <w:sz w:val="13"/>
                <w:szCs w:val="13"/>
                <w:color w:val="auto"/>
              </w:rPr>
              <w:t>(779,382)</w:t>
            </w:r>
          </w:p>
        </w:tc>
        <w:tc>
          <w:tcPr>
            <w:tcW w:w="10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1080" w:type="dxa"/>
            <w:vAlign w:val="bottom"/>
            <w:gridSpan w:val="2"/>
            <w:shd w:val="clear" w:color="auto" w:fill="CCEEFF"/>
          </w:tcPr>
          <w:p>
            <w:pPr>
              <w:jc w:val="right"/>
              <w:ind w:right="160"/>
              <w:spacing w:after="0" w:line="138" w:lineRule="exact"/>
              <w:rPr>
                <w:sz w:val="20"/>
                <w:szCs w:val="20"/>
                <w:color w:val="auto"/>
              </w:rPr>
            </w:pPr>
            <w:r>
              <w:rPr>
                <w:rFonts w:ascii="Arial" w:cs="Arial" w:eastAsia="Arial" w:hAnsi="Arial"/>
                <w:sz w:val="13"/>
                <w:szCs w:val="13"/>
                <w:color w:val="auto"/>
              </w:rPr>
              <w:t>10,000</w:t>
            </w:r>
          </w:p>
        </w:tc>
        <w:tc>
          <w:tcPr>
            <w:tcW w:w="12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4,068,490</w:t>
            </w:r>
          </w:p>
        </w:tc>
        <w:tc>
          <w:tcPr>
            <w:tcW w:w="0" w:type="dxa"/>
            <w:vAlign w:val="bottom"/>
          </w:tcPr>
          <w:p>
            <w:pPr>
              <w:spacing w:after="0"/>
              <w:rPr>
                <w:sz w:val="1"/>
                <w:szCs w:val="1"/>
                <w:color w:val="auto"/>
              </w:rPr>
            </w:pPr>
          </w:p>
        </w:tc>
      </w:tr>
      <w:tr>
        <w:trPr>
          <w:trHeight w:val="26"/>
        </w:trPr>
        <w:tc>
          <w:tcPr>
            <w:tcW w:w="2700" w:type="dxa"/>
            <w:vAlign w:val="bottom"/>
            <w:vMerge w:val="restart"/>
          </w:tcPr>
          <w:p>
            <w:pPr>
              <w:spacing w:after="0"/>
              <w:rPr>
                <w:sz w:val="20"/>
                <w:szCs w:val="20"/>
                <w:color w:val="auto"/>
              </w:rPr>
            </w:pPr>
            <w:r>
              <w:rPr>
                <w:rFonts w:ascii="Arial" w:cs="Arial" w:eastAsia="Arial" w:hAnsi="Arial"/>
                <w:sz w:val="13"/>
                <w:szCs w:val="13"/>
                <w:color w:val="auto"/>
              </w:rPr>
              <w:t>Net income</w:t>
            </w:r>
          </w:p>
        </w:tc>
        <w:tc>
          <w:tcPr>
            <w:tcW w:w="82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37"/>
        </w:trPr>
        <w:tc>
          <w:tcPr>
            <w:tcW w:w="2700" w:type="dxa"/>
            <w:vAlign w:val="bottom"/>
            <w:vMerge w:val="continue"/>
          </w:tcPr>
          <w:p>
            <w:pPr>
              <w:spacing w:after="0"/>
              <w:rPr>
                <w:sz w:val="11"/>
                <w:szCs w:val="11"/>
                <w:color w:val="auto"/>
              </w:rPr>
            </w:pPr>
          </w:p>
        </w:tc>
        <w:tc>
          <w:tcPr>
            <w:tcW w:w="80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w:t>
            </w: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2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54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70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56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28,743</w:t>
            </w:r>
          </w:p>
        </w:tc>
        <w:tc>
          <w:tcPr>
            <w:tcW w:w="16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2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rPr>
              <w:t>28,743</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2700" w:type="dxa"/>
            <w:vAlign w:val="bottom"/>
            <w:shd w:val="clear" w:color="auto" w:fill="CCEEFF"/>
          </w:tcPr>
          <w:p>
            <w:pPr>
              <w:spacing w:after="0" w:line="144" w:lineRule="exact"/>
              <w:rPr>
                <w:sz w:val="20"/>
                <w:szCs w:val="20"/>
                <w:color w:val="auto"/>
              </w:rPr>
            </w:pPr>
            <w:r>
              <w:rPr>
                <w:rFonts w:ascii="Arial" w:cs="Arial" w:eastAsia="Arial" w:hAnsi="Arial"/>
                <w:sz w:val="13"/>
                <w:szCs w:val="13"/>
                <w:color w:val="auto"/>
              </w:rPr>
              <w:t>Other comprehensive loss</w:t>
            </w:r>
          </w:p>
        </w:tc>
        <w:tc>
          <w:tcPr>
            <w:tcW w:w="960" w:type="dxa"/>
            <w:vAlign w:val="bottom"/>
            <w:gridSpan w:val="3"/>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(151)</w:t>
            </w:r>
          </w:p>
        </w:tc>
        <w:tc>
          <w:tcPr>
            <w:tcW w:w="10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(8,127)</w:t>
            </w:r>
          </w:p>
        </w:tc>
        <w:tc>
          <w:tcPr>
            <w:tcW w:w="12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(8,278)</w:t>
            </w:r>
          </w:p>
        </w:tc>
        <w:tc>
          <w:tcPr>
            <w:tcW w:w="0" w:type="dxa"/>
            <w:vAlign w:val="bottom"/>
          </w:tcPr>
          <w:p>
            <w:pPr>
              <w:spacing w:after="0"/>
              <w:rPr>
                <w:sz w:val="1"/>
                <w:szCs w:val="1"/>
                <w:color w:val="auto"/>
              </w:rPr>
            </w:pPr>
          </w:p>
        </w:tc>
      </w:tr>
      <w:tr>
        <w:trPr>
          <w:trHeight w:val="26"/>
        </w:trPr>
        <w:tc>
          <w:tcPr>
            <w:tcW w:w="2700" w:type="dxa"/>
            <w:vAlign w:val="bottom"/>
            <w:vMerge w:val="restart"/>
          </w:tcPr>
          <w:p>
            <w:pPr>
              <w:spacing w:after="0"/>
              <w:rPr>
                <w:sz w:val="20"/>
                <w:szCs w:val="20"/>
                <w:color w:val="auto"/>
              </w:rPr>
            </w:pPr>
            <w:r>
              <w:rPr>
                <w:rFonts w:ascii="Arial" w:cs="Arial" w:eastAsia="Arial" w:hAnsi="Arial"/>
                <w:sz w:val="13"/>
                <w:szCs w:val="13"/>
                <w:color w:val="auto"/>
              </w:rPr>
              <w:t>Total comprehensive income (loss)</w:t>
            </w:r>
          </w:p>
        </w:tc>
        <w:tc>
          <w:tcPr>
            <w:tcW w:w="82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2700" w:type="dxa"/>
            <w:vAlign w:val="bottom"/>
            <w:vMerge w:val="continue"/>
          </w:tcPr>
          <w:p>
            <w:pPr>
              <w:spacing w:after="0"/>
              <w:rPr>
                <w:sz w:val="13"/>
                <w:szCs w:val="13"/>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28,592</w:t>
            </w:r>
          </w:p>
        </w:tc>
        <w:tc>
          <w:tcPr>
            <w:tcW w:w="160" w:type="dxa"/>
            <w:vAlign w:val="bottom"/>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(8,127)</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20,465</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0"/>
        </w:trPr>
        <w:tc>
          <w:tcPr>
            <w:tcW w:w="2700" w:type="dxa"/>
            <w:vAlign w:val="bottom"/>
            <w:shd w:val="clear" w:color="auto" w:fill="CCEEFF"/>
          </w:tcPr>
          <w:p>
            <w:pPr>
              <w:spacing w:after="0" w:line="140" w:lineRule="exact"/>
              <w:rPr>
                <w:sz w:val="20"/>
                <w:szCs w:val="20"/>
                <w:color w:val="auto"/>
              </w:rPr>
            </w:pPr>
            <w:r>
              <w:rPr>
                <w:rFonts w:ascii="Arial" w:cs="Arial" w:eastAsia="Arial" w:hAnsi="Arial"/>
                <w:sz w:val="13"/>
                <w:szCs w:val="13"/>
                <w:color w:val="auto"/>
              </w:rPr>
              <w:t>Transactions with owners:</w:t>
            </w:r>
          </w:p>
        </w:tc>
        <w:tc>
          <w:tcPr>
            <w:tcW w:w="8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700" w:type="dxa"/>
            <w:vAlign w:val="bottom"/>
          </w:tcPr>
          <w:p>
            <w:pPr>
              <w:ind w:left="140"/>
              <w:spacing w:after="0" w:line="136" w:lineRule="exact"/>
              <w:rPr>
                <w:sz w:val="20"/>
                <w:szCs w:val="20"/>
                <w:color w:val="auto"/>
              </w:rPr>
            </w:pPr>
            <w:r>
              <w:rPr>
                <w:rFonts w:ascii="Arial" w:cs="Arial" w:eastAsia="Arial" w:hAnsi="Arial"/>
                <w:sz w:val="13"/>
                <w:szCs w:val="13"/>
                <w:color w:val="auto"/>
              </w:rPr>
              <w:t>Shares issued under employee stock option</w:t>
            </w: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tcPr>
          <w:p>
            <w:pPr>
              <w:ind w:left="280"/>
              <w:spacing w:after="0"/>
              <w:rPr>
                <w:sz w:val="20"/>
                <w:szCs w:val="20"/>
                <w:color w:val="auto"/>
              </w:rPr>
            </w:pPr>
            <w:r>
              <w:rPr>
                <w:rFonts w:ascii="Arial" w:cs="Arial" w:eastAsia="Arial" w:hAnsi="Arial"/>
                <w:sz w:val="13"/>
                <w:szCs w:val="13"/>
                <w:color w:val="auto"/>
              </w:rPr>
              <w:t>plan (notes 10 and 11)</w:t>
            </w:r>
          </w:p>
        </w:tc>
        <w:tc>
          <w:tcPr>
            <w:tcW w:w="820" w:type="dxa"/>
            <w:vAlign w:val="bottom"/>
            <w:gridSpan w:val="2"/>
          </w:tcPr>
          <w:p>
            <w:pPr>
              <w:jc w:val="right"/>
              <w:ind w:right="20"/>
              <w:spacing w:after="0"/>
              <w:rPr>
                <w:sz w:val="20"/>
                <w:szCs w:val="20"/>
                <w:color w:val="auto"/>
              </w:rPr>
            </w:pPr>
            <w:r>
              <w:rPr>
                <w:rFonts w:ascii="Arial" w:cs="Arial" w:eastAsia="Arial" w:hAnsi="Arial"/>
                <w:sz w:val="13"/>
                <w:szCs w:val="13"/>
                <w:color w:val="auto"/>
              </w:rPr>
              <w:t>338,603</w:t>
            </w: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3"/>
                <w:szCs w:val="13"/>
                <w:color w:val="auto"/>
              </w:rPr>
              <w:t>10,454</w:t>
            </w:r>
          </w:p>
        </w:tc>
        <w:tc>
          <w:tcPr>
            <w:tcW w:w="80" w:type="dxa"/>
            <w:vAlign w:val="bottom"/>
          </w:tcPr>
          <w:p>
            <w:pPr>
              <w:spacing w:after="0"/>
              <w:rPr>
                <w:sz w:val="13"/>
                <w:szCs w:val="13"/>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3"/>
                <w:szCs w:val="13"/>
                <w:color w:val="auto"/>
              </w:rPr>
              <w:t>(2,231)</w:t>
            </w:r>
          </w:p>
        </w:tc>
        <w:tc>
          <w:tcPr>
            <w:tcW w:w="140" w:type="dxa"/>
            <w:vAlign w:val="bottom"/>
          </w:tcPr>
          <w:p>
            <w:pPr>
              <w:spacing w:after="0"/>
              <w:rPr>
                <w:sz w:val="13"/>
                <w:szCs w:val="13"/>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8,223</w:t>
            </w:r>
          </w:p>
        </w:tc>
        <w:tc>
          <w:tcPr>
            <w:tcW w:w="0" w:type="dxa"/>
            <w:vAlign w:val="bottom"/>
          </w:tcPr>
          <w:p>
            <w:pPr>
              <w:spacing w:after="0"/>
              <w:rPr>
                <w:sz w:val="1"/>
                <w:szCs w:val="1"/>
                <w:color w:val="auto"/>
              </w:rPr>
            </w:pPr>
          </w:p>
        </w:tc>
      </w:tr>
      <w:tr>
        <w:trPr>
          <w:trHeight w:val="144"/>
        </w:trPr>
        <w:tc>
          <w:tcPr>
            <w:tcW w:w="2700" w:type="dxa"/>
            <w:vAlign w:val="bottom"/>
            <w:shd w:val="clear" w:color="auto" w:fill="CCEEFF"/>
          </w:tcPr>
          <w:p>
            <w:pPr>
              <w:ind w:left="140"/>
              <w:spacing w:after="0" w:line="144" w:lineRule="exact"/>
              <w:rPr>
                <w:sz w:val="20"/>
                <w:szCs w:val="20"/>
                <w:color w:val="auto"/>
              </w:rPr>
            </w:pPr>
            <w:r>
              <w:rPr>
                <w:rFonts w:ascii="Arial" w:cs="Arial" w:eastAsia="Arial" w:hAnsi="Arial"/>
                <w:sz w:val="13"/>
                <w:szCs w:val="13"/>
                <w:color w:val="auto"/>
              </w:rPr>
              <w:t>Stock options (notes 10 and 11)</w:t>
            </w:r>
          </w:p>
        </w:tc>
        <w:tc>
          <w:tcPr>
            <w:tcW w:w="960" w:type="dxa"/>
            <w:vAlign w:val="bottom"/>
            <w:gridSpan w:val="3"/>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8,012</w:t>
            </w: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8,012</w:t>
            </w:r>
          </w:p>
        </w:tc>
        <w:tc>
          <w:tcPr>
            <w:tcW w:w="0" w:type="dxa"/>
            <w:vAlign w:val="bottom"/>
          </w:tcPr>
          <w:p>
            <w:pPr>
              <w:spacing w:after="0"/>
              <w:rPr>
                <w:sz w:val="1"/>
                <w:szCs w:val="1"/>
                <w:color w:val="auto"/>
              </w:rPr>
            </w:pPr>
          </w:p>
        </w:tc>
      </w:tr>
      <w:tr>
        <w:trPr>
          <w:trHeight w:val="135"/>
        </w:trPr>
        <w:tc>
          <w:tcPr>
            <w:tcW w:w="2700" w:type="dxa"/>
            <w:vAlign w:val="bottom"/>
          </w:tcPr>
          <w:p>
            <w:pPr>
              <w:ind w:left="140"/>
              <w:spacing w:after="0" w:line="136" w:lineRule="exact"/>
              <w:rPr>
                <w:sz w:val="20"/>
                <w:szCs w:val="20"/>
                <w:color w:val="auto"/>
              </w:rPr>
            </w:pPr>
            <w:r>
              <w:rPr>
                <w:rFonts w:ascii="Arial" w:cs="Arial" w:eastAsia="Arial" w:hAnsi="Arial"/>
                <w:sz w:val="13"/>
                <w:szCs w:val="13"/>
                <w:color w:val="auto"/>
                <w:w w:val="94"/>
              </w:rPr>
              <w:t>Shares issued under incentive share purchase</w:t>
            </w: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tcPr>
          <w:p>
            <w:pPr>
              <w:ind w:left="280"/>
              <w:spacing w:after="0"/>
              <w:rPr>
                <w:sz w:val="20"/>
                <w:szCs w:val="20"/>
                <w:color w:val="auto"/>
              </w:rPr>
            </w:pPr>
            <w:r>
              <w:rPr>
                <w:rFonts w:ascii="Arial" w:cs="Arial" w:eastAsia="Arial" w:hAnsi="Arial"/>
                <w:sz w:val="13"/>
                <w:szCs w:val="13"/>
                <w:color w:val="auto"/>
              </w:rPr>
              <w:t>plan (note 11)</w:t>
            </w:r>
          </w:p>
        </w:tc>
        <w:tc>
          <w:tcPr>
            <w:tcW w:w="820" w:type="dxa"/>
            <w:vAlign w:val="bottom"/>
            <w:gridSpan w:val="2"/>
          </w:tcPr>
          <w:p>
            <w:pPr>
              <w:jc w:val="right"/>
              <w:ind w:right="20"/>
              <w:spacing w:after="0"/>
              <w:rPr>
                <w:sz w:val="20"/>
                <w:szCs w:val="20"/>
                <w:color w:val="auto"/>
              </w:rPr>
            </w:pPr>
            <w:r>
              <w:rPr>
                <w:rFonts w:ascii="Arial" w:cs="Arial" w:eastAsia="Arial" w:hAnsi="Arial"/>
                <w:sz w:val="13"/>
                <w:szCs w:val="13"/>
                <w:color w:val="auto"/>
              </w:rPr>
              <w:t>124,791</w:t>
            </w: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3"/>
                <w:szCs w:val="13"/>
                <w:color w:val="auto"/>
              </w:rPr>
              <w:t>3,607</w:t>
            </w:r>
          </w:p>
        </w:tc>
        <w:tc>
          <w:tcPr>
            <w:tcW w:w="80" w:type="dxa"/>
            <w:vAlign w:val="bottom"/>
          </w:tcPr>
          <w:p>
            <w:pPr>
              <w:spacing w:after="0"/>
              <w:rPr>
                <w:sz w:val="13"/>
                <w:szCs w:val="13"/>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3"/>
                <w:szCs w:val="13"/>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3,607</w:t>
            </w:r>
          </w:p>
        </w:tc>
        <w:tc>
          <w:tcPr>
            <w:tcW w:w="0" w:type="dxa"/>
            <w:vAlign w:val="bottom"/>
          </w:tcPr>
          <w:p>
            <w:pPr>
              <w:spacing w:after="0"/>
              <w:rPr>
                <w:sz w:val="1"/>
                <w:szCs w:val="1"/>
                <w:color w:val="auto"/>
              </w:rPr>
            </w:pPr>
          </w:p>
        </w:tc>
      </w:tr>
      <w:tr>
        <w:trPr>
          <w:trHeight w:val="135"/>
        </w:trPr>
        <w:tc>
          <w:tcPr>
            <w:tcW w:w="2700" w:type="dxa"/>
            <w:vAlign w:val="bottom"/>
            <w:shd w:val="clear" w:color="auto" w:fill="CCEEFF"/>
          </w:tcPr>
          <w:p>
            <w:pPr>
              <w:ind w:left="140"/>
              <w:spacing w:after="0" w:line="136" w:lineRule="exact"/>
              <w:rPr>
                <w:sz w:val="20"/>
                <w:szCs w:val="20"/>
                <w:color w:val="auto"/>
              </w:rPr>
            </w:pPr>
            <w:r>
              <w:rPr>
                <w:rFonts w:ascii="Arial" w:cs="Arial" w:eastAsia="Arial" w:hAnsi="Arial"/>
                <w:sz w:val="13"/>
                <w:szCs w:val="13"/>
                <w:color w:val="auto"/>
              </w:rPr>
              <w:t>Shares issued under dividend reinvestment</w:t>
            </w:r>
          </w:p>
        </w:tc>
        <w:tc>
          <w:tcPr>
            <w:tcW w:w="8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shd w:val="clear" w:color="auto" w:fill="CCEEFF"/>
          </w:tcPr>
          <w:p>
            <w:pPr>
              <w:ind w:left="280"/>
              <w:spacing w:after="0"/>
              <w:rPr>
                <w:sz w:val="20"/>
                <w:szCs w:val="20"/>
                <w:color w:val="auto"/>
              </w:rPr>
            </w:pPr>
            <w:r>
              <w:rPr>
                <w:rFonts w:ascii="Arial" w:cs="Arial" w:eastAsia="Arial" w:hAnsi="Arial"/>
                <w:sz w:val="13"/>
                <w:szCs w:val="13"/>
                <w:color w:val="auto"/>
              </w:rPr>
              <w:t>plan</w:t>
            </w:r>
          </w:p>
        </w:tc>
        <w:tc>
          <w:tcPr>
            <w:tcW w:w="82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85,225</w:t>
            </w:r>
          </w:p>
        </w:tc>
        <w:tc>
          <w:tcPr>
            <w:tcW w:w="1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2,459</w:t>
            </w:r>
          </w:p>
        </w:tc>
        <w:tc>
          <w:tcPr>
            <w:tcW w:w="80" w:type="dxa"/>
            <w:vAlign w:val="bottom"/>
            <w:shd w:val="clear" w:color="auto" w:fill="CCEEFF"/>
          </w:tcPr>
          <w:p>
            <w:pPr>
              <w:spacing w:after="0"/>
              <w:rPr>
                <w:sz w:val="13"/>
                <w:szCs w:val="13"/>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3"/>
                <w:szCs w:val="13"/>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2,459</w:t>
            </w:r>
          </w:p>
        </w:tc>
        <w:tc>
          <w:tcPr>
            <w:tcW w:w="0" w:type="dxa"/>
            <w:vAlign w:val="bottom"/>
          </w:tcPr>
          <w:p>
            <w:pPr>
              <w:spacing w:after="0"/>
              <w:rPr>
                <w:sz w:val="1"/>
                <w:szCs w:val="1"/>
                <w:color w:val="auto"/>
              </w:rPr>
            </w:pPr>
          </w:p>
        </w:tc>
      </w:tr>
      <w:tr>
        <w:trPr>
          <w:trHeight w:val="135"/>
        </w:trPr>
        <w:tc>
          <w:tcPr>
            <w:tcW w:w="2700" w:type="dxa"/>
            <w:vAlign w:val="bottom"/>
          </w:tcPr>
          <w:p>
            <w:pPr>
              <w:ind w:left="140"/>
              <w:spacing w:after="0" w:line="136" w:lineRule="exact"/>
              <w:rPr>
                <w:sz w:val="20"/>
                <w:szCs w:val="20"/>
                <w:color w:val="auto"/>
              </w:rPr>
            </w:pPr>
            <w:r>
              <w:rPr>
                <w:rFonts w:ascii="Arial" w:cs="Arial" w:eastAsia="Arial" w:hAnsi="Arial"/>
                <w:sz w:val="13"/>
                <w:szCs w:val="13"/>
                <w:color w:val="auto"/>
                <w:w w:val="98"/>
              </w:rPr>
              <w:t>Shares issued for joint acquisition of Malartic</w:t>
            </w: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tcPr>
          <w:p>
            <w:pPr>
              <w:ind w:left="280"/>
              <w:spacing w:after="0"/>
              <w:rPr>
                <w:sz w:val="20"/>
                <w:szCs w:val="20"/>
                <w:color w:val="auto"/>
              </w:rPr>
            </w:pPr>
            <w:r>
              <w:rPr>
                <w:rFonts w:ascii="Arial" w:cs="Arial" w:eastAsia="Arial" w:hAnsi="Arial"/>
                <w:sz w:val="13"/>
                <w:szCs w:val="13"/>
                <w:color w:val="auto"/>
              </w:rPr>
              <w:t>CHL property</w:t>
            </w:r>
          </w:p>
        </w:tc>
        <w:tc>
          <w:tcPr>
            <w:tcW w:w="820" w:type="dxa"/>
            <w:vAlign w:val="bottom"/>
            <w:gridSpan w:val="2"/>
          </w:tcPr>
          <w:p>
            <w:pPr>
              <w:jc w:val="right"/>
              <w:ind w:right="20"/>
              <w:spacing w:after="0"/>
              <w:rPr>
                <w:sz w:val="20"/>
                <w:szCs w:val="20"/>
                <w:color w:val="auto"/>
              </w:rPr>
            </w:pPr>
            <w:r>
              <w:rPr>
                <w:rFonts w:ascii="Arial" w:cs="Arial" w:eastAsia="Arial" w:hAnsi="Arial"/>
                <w:sz w:val="13"/>
                <w:szCs w:val="13"/>
                <w:color w:val="auto"/>
              </w:rPr>
              <w:t>459,197</w:t>
            </w: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3"/>
                <w:szCs w:val="13"/>
                <w:color w:val="auto"/>
              </w:rPr>
              <w:t>13,441</w:t>
            </w:r>
          </w:p>
        </w:tc>
        <w:tc>
          <w:tcPr>
            <w:tcW w:w="80" w:type="dxa"/>
            <w:vAlign w:val="bottom"/>
          </w:tcPr>
          <w:p>
            <w:pPr>
              <w:spacing w:after="0"/>
              <w:rPr>
                <w:sz w:val="13"/>
                <w:szCs w:val="13"/>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3"/>
                <w:szCs w:val="13"/>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13,441</w:t>
            </w:r>
          </w:p>
        </w:tc>
        <w:tc>
          <w:tcPr>
            <w:tcW w:w="0" w:type="dxa"/>
            <w:vAlign w:val="bottom"/>
          </w:tcPr>
          <w:p>
            <w:pPr>
              <w:spacing w:after="0"/>
              <w:rPr>
                <w:sz w:val="1"/>
                <w:szCs w:val="1"/>
                <w:color w:val="auto"/>
              </w:rPr>
            </w:pPr>
          </w:p>
        </w:tc>
      </w:tr>
      <w:tr>
        <w:trPr>
          <w:trHeight w:val="144"/>
        </w:trPr>
        <w:tc>
          <w:tcPr>
            <w:tcW w:w="2700" w:type="dxa"/>
            <w:vAlign w:val="bottom"/>
            <w:shd w:val="clear" w:color="auto" w:fill="CCEEFF"/>
          </w:tcPr>
          <w:p>
            <w:pPr>
              <w:ind w:left="140"/>
              <w:spacing w:after="0" w:line="144" w:lineRule="exact"/>
              <w:rPr>
                <w:sz w:val="20"/>
                <w:szCs w:val="20"/>
                <w:color w:val="auto"/>
              </w:rPr>
            </w:pPr>
            <w:r>
              <w:rPr>
                <w:rFonts w:ascii="Arial" w:cs="Arial" w:eastAsia="Arial" w:hAnsi="Arial"/>
                <w:sz w:val="13"/>
                <w:szCs w:val="13"/>
                <w:color w:val="auto"/>
              </w:rPr>
              <w:t>Dividends declared ($0.08 per share)</w:t>
            </w:r>
          </w:p>
        </w:tc>
        <w:tc>
          <w:tcPr>
            <w:tcW w:w="960" w:type="dxa"/>
            <w:vAlign w:val="bottom"/>
            <w:gridSpan w:val="3"/>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(17,221)</w:t>
            </w:r>
          </w:p>
        </w:tc>
        <w:tc>
          <w:tcPr>
            <w:tcW w:w="10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(17,221)</w:t>
            </w:r>
          </w:p>
        </w:tc>
        <w:tc>
          <w:tcPr>
            <w:tcW w:w="0" w:type="dxa"/>
            <w:vAlign w:val="bottom"/>
          </w:tcPr>
          <w:p>
            <w:pPr>
              <w:spacing w:after="0"/>
              <w:rPr>
                <w:sz w:val="1"/>
                <w:szCs w:val="1"/>
                <w:color w:val="auto"/>
              </w:rPr>
            </w:pPr>
          </w:p>
        </w:tc>
      </w:tr>
      <w:tr>
        <w:trPr>
          <w:trHeight w:val="135"/>
        </w:trPr>
        <w:tc>
          <w:tcPr>
            <w:tcW w:w="2700" w:type="dxa"/>
            <w:vAlign w:val="bottom"/>
          </w:tcPr>
          <w:p>
            <w:pPr>
              <w:ind w:left="140"/>
              <w:spacing w:after="0" w:line="136" w:lineRule="exact"/>
              <w:rPr>
                <w:sz w:val="20"/>
                <w:szCs w:val="20"/>
                <w:color w:val="auto"/>
              </w:rPr>
            </w:pPr>
            <w:r>
              <w:rPr>
                <w:rFonts w:ascii="Arial" w:cs="Arial" w:eastAsia="Arial" w:hAnsi="Arial"/>
                <w:sz w:val="13"/>
                <w:szCs w:val="13"/>
                <w:color w:val="auto"/>
              </w:rPr>
              <w:t>Restricted Share Unit plan and Long Term</w:t>
            </w: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2700" w:type="dxa"/>
            <w:vAlign w:val="bottom"/>
          </w:tcPr>
          <w:p>
            <w:pPr>
              <w:ind w:left="280"/>
              <w:spacing w:after="0"/>
              <w:rPr>
                <w:sz w:val="20"/>
                <w:szCs w:val="20"/>
                <w:color w:val="auto"/>
              </w:rPr>
            </w:pPr>
            <w:r>
              <w:rPr>
                <w:rFonts w:ascii="Arial" w:cs="Arial" w:eastAsia="Arial" w:hAnsi="Arial"/>
                <w:sz w:val="13"/>
                <w:szCs w:val="13"/>
                <w:color w:val="auto"/>
              </w:rPr>
              <w:t>Incentive Plan ("LTIP") (note 11)</w:t>
            </w:r>
          </w:p>
        </w:tc>
        <w:tc>
          <w:tcPr>
            <w:tcW w:w="960" w:type="dxa"/>
            <w:vAlign w:val="bottom"/>
            <w:gridSpan w:val="3"/>
          </w:tcPr>
          <w:p>
            <w:pPr>
              <w:jc w:val="right"/>
              <w:ind w:right="100"/>
              <w:spacing w:after="0"/>
              <w:rPr>
                <w:sz w:val="20"/>
                <w:szCs w:val="20"/>
                <w:color w:val="auto"/>
              </w:rPr>
            </w:pPr>
            <w:r>
              <w:rPr>
                <w:rFonts w:ascii="Arial" w:cs="Arial" w:eastAsia="Arial" w:hAnsi="Arial"/>
                <w:sz w:val="13"/>
                <w:szCs w:val="13"/>
                <w:color w:val="auto"/>
              </w:rPr>
              <w:t>(302,232)</w:t>
            </w:r>
          </w:p>
        </w:tc>
        <w:tc>
          <w:tcPr>
            <w:tcW w:w="120" w:type="dxa"/>
            <w:vAlign w:val="bottom"/>
          </w:tcPr>
          <w:p>
            <w:pPr>
              <w:spacing w:after="0"/>
              <w:rPr>
                <w:sz w:val="14"/>
                <w:szCs w:val="14"/>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3"/>
                <w:szCs w:val="13"/>
                <w:color w:val="auto"/>
              </w:rPr>
              <w:t>(7,734)</w:t>
            </w:r>
          </w:p>
        </w:tc>
        <w:tc>
          <w:tcPr>
            <w:tcW w:w="80" w:type="dxa"/>
            <w:vAlign w:val="bottom"/>
          </w:tcPr>
          <w:p>
            <w:pPr>
              <w:spacing w:after="0"/>
              <w:rPr>
                <w:sz w:val="14"/>
                <w:szCs w:val="14"/>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4"/>
                <w:szCs w:val="14"/>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3"/>
                <w:szCs w:val="13"/>
                <w:color w:val="auto"/>
              </w:rPr>
              <w:t>(7,734)</w:t>
            </w:r>
          </w:p>
        </w:tc>
        <w:tc>
          <w:tcPr>
            <w:tcW w:w="0" w:type="dxa"/>
            <w:vAlign w:val="bottom"/>
          </w:tcPr>
          <w:p>
            <w:pPr>
              <w:spacing w:after="0"/>
              <w:rPr>
                <w:sz w:val="1"/>
                <w:szCs w:val="1"/>
                <w:color w:val="auto"/>
              </w:rPr>
            </w:pPr>
          </w:p>
        </w:tc>
      </w:tr>
      <w:tr>
        <w:trPr>
          <w:trHeight w:val="20"/>
        </w:trPr>
        <w:tc>
          <w:tcPr>
            <w:tcW w:w="27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4"/>
        </w:trPr>
        <w:tc>
          <w:tcPr>
            <w:tcW w:w="2700" w:type="dxa"/>
            <w:vAlign w:val="bottom"/>
            <w:shd w:val="clear" w:color="auto" w:fill="CCEEFF"/>
          </w:tcPr>
          <w:p>
            <w:pPr>
              <w:spacing w:after="0" w:line="144" w:lineRule="exact"/>
              <w:rPr>
                <w:sz w:val="20"/>
                <w:szCs w:val="20"/>
                <w:color w:val="auto"/>
              </w:rPr>
            </w:pPr>
            <w:r>
              <w:rPr>
                <w:rFonts w:ascii="Arial" w:cs="Arial" w:eastAsia="Arial" w:hAnsi="Arial"/>
                <w:sz w:val="13"/>
                <w:szCs w:val="13"/>
                <w:b w:val="1"/>
                <w:bCs w:val="1"/>
                <w:color w:val="auto"/>
              </w:rPr>
              <w:t>Balance March 31, 2015</w:t>
            </w:r>
          </w:p>
        </w:tc>
        <w:tc>
          <w:tcPr>
            <w:tcW w:w="80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rPr>
              <w:t>214,941,818</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62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rPr>
              <w:t>4,622,015</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7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206,611</w:t>
            </w:r>
          </w:p>
        </w:tc>
        <w:tc>
          <w:tcPr>
            <w:tcW w:w="14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86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37,254</w:t>
            </w:r>
          </w:p>
        </w:tc>
        <w:tc>
          <w:tcPr>
            <w:tcW w:w="12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72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(768,011)</w:t>
            </w:r>
          </w:p>
        </w:tc>
        <w:tc>
          <w:tcPr>
            <w:tcW w:w="10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108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1,873</w:t>
            </w:r>
          </w:p>
        </w:tc>
        <w:tc>
          <w:tcPr>
            <w:tcW w:w="12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76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4,099,742</w:t>
            </w:r>
          </w:p>
        </w:tc>
        <w:tc>
          <w:tcPr>
            <w:tcW w:w="0" w:type="dxa"/>
            <w:vAlign w:val="bottom"/>
          </w:tcPr>
          <w:p>
            <w:pPr>
              <w:spacing w:after="0"/>
              <w:rPr>
                <w:sz w:val="1"/>
                <w:szCs w:val="1"/>
                <w:color w:val="auto"/>
              </w:rPr>
            </w:pPr>
          </w:p>
        </w:tc>
      </w:tr>
      <w:tr>
        <w:trPr>
          <w:trHeight w:val="26"/>
        </w:trPr>
        <w:tc>
          <w:tcPr>
            <w:tcW w:w="2700" w:type="dxa"/>
            <w:vAlign w:val="bottom"/>
            <w:vMerge w:val="restart"/>
          </w:tcPr>
          <w:p>
            <w:pPr>
              <w:spacing w:after="0"/>
              <w:rPr>
                <w:sz w:val="20"/>
                <w:szCs w:val="20"/>
                <w:color w:val="auto"/>
              </w:rPr>
            </w:pPr>
            <w:r>
              <w:rPr>
                <w:rFonts w:ascii="Arial" w:cs="Arial" w:eastAsia="Arial" w:hAnsi="Arial"/>
                <w:sz w:val="13"/>
                <w:szCs w:val="13"/>
                <w:b w:val="1"/>
                <w:bCs w:val="1"/>
                <w:color w:val="auto"/>
              </w:rPr>
              <w:t>Balance December 31, 2015</w:t>
            </w:r>
          </w:p>
        </w:tc>
        <w:tc>
          <w:tcPr>
            <w:tcW w:w="8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700" w:type="dxa"/>
            <w:vAlign w:val="bottom"/>
            <w:vMerge w:val="continue"/>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7"/>
        </w:trPr>
        <w:tc>
          <w:tcPr>
            <w:tcW w:w="2700" w:type="dxa"/>
            <w:vAlign w:val="bottom"/>
            <w:vMerge w:val="continue"/>
          </w:tcPr>
          <w:p>
            <w:pPr>
              <w:spacing w:after="0"/>
              <w:rPr>
                <w:sz w:val="12"/>
                <w:szCs w:val="12"/>
                <w:color w:val="auto"/>
              </w:rPr>
            </w:pPr>
          </w:p>
        </w:tc>
        <w:tc>
          <w:tcPr>
            <w:tcW w:w="80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217,650,795</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w w:val="82"/>
              </w:rPr>
              <w:t>$</w:t>
            </w:r>
          </w:p>
        </w:tc>
        <w:tc>
          <w:tcPr>
            <w:tcW w:w="62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4,707,940</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w w:val="82"/>
              </w:rPr>
              <w:t>$</w:t>
            </w:r>
          </w:p>
        </w:tc>
        <w:tc>
          <w:tcPr>
            <w:tcW w:w="5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216,232</w:t>
            </w:r>
          </w:p>
        </w:tc>
        <w:tc>
          <w:tcPr>
            <w:tcW w:w="16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w w:val="82"/>
              </w:rPr>
              <w:t>$</w:t>
            </w:r>
          </w:p>
        </w:tc>
        <w:tc>
          <w:tcPr>
            <w:tcW w:w="70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37,254</w:t>
            </w:r>
          </w:p>
        </w:tc>
        <w:tc>
          <w:tcPr>
            <w:tcW w:w="16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w w:val="82"/>
              </w:rPr>
              <w:t>$</w:t>
            </w:r>
          </w:p>
        </w:tc>
        <w:tc>
          <w:tcPr>
            <w:tcW w:w="56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w w:val="96"/>
              </w:rPr>
              <w:t>(823,734)</w:t>
            </w:r>
          </w:p>
        </w:tc>
        <w:tc>
          <w:tcPr>
            <w:tcW w:w="16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w w:val="82"/>
              </w:rPr>
              <w:t>$</w:t>
            </w:r>
          </w:p>
        </w:tc>
        <w:tc>
          <w:tcPr>
            <w:tcW w:w="92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3,328</w:t>
            </w:r>
          </w:p>
        </w:tc>
        <w:tc>
          <w:tcPr>
            <w:tcW w:w="16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w w:val="82"/>
              </w:rPr>
              <w:t>$</w:t>
            </w:r>
          </w:p>
        </w:tc>
        <w:tc>
          <w:tcPr>
            <w:tcW w:w="62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4,141,020</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2700" w:type="dxa"/>
            <w:vAlign w:val="bottom"/>
            <w:shd w:val="clear" w:color="auto" w:fill="CCEEFF"/>
          </w:tcPr>
          <w:p>
            <w:pPr>
              <w:spacing w:after="0" w:line="140" w:lineRule="exact"/>
              <w:rPr>
                <w:sz w:val="20"/>
                <w:szCs w:val="20"/>
                <w:color w:val="auto"/>
              </w:rPr>
            </w:pPr>
            <w:r>
              <w:rPr>
                <w:rFonts w:ascii="Arial" w:cs="Arial" w:eastAsia="Arial" w:hAnsi="Arial"/>
                <w:sz w:val="13"/>
                <w:szCs w:val="13"/>
                <w:color w:val="auto"/>
              </w:rPr>
              <w:t>Net income</w:t>
            </w:r>
          </w:p>
        </w:tc>
        <w:tc>
          <w:tcPr>
            <w:tcW w:w="960" w:type="dxa"/>
            <w:vAlign w:val="bottom"/>
            <w:gridSpan w:val="3"/>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27,788</w:t>
            </w:r>
          </w:p>
        </w:tc>
        <w:tc>
          <w:tcPr>
            <w:tcW w:w="10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27,788</w:t>
            </w:r>
          </w:p>
        </w:tc>
        <w:tc>
          <w:tcPr>
            <w:tcW w:w="0" w:type="dxa"/>
            <w:vAlign w:val="bottom"/>
          </w:tcPr>
          <w:p>
            <w:pPr>
              <w:spacing w:after="0"/>
              <w:rPr>
                <w:sz w:val="1"/>
                <w:szCs w:val="1"/>
                <w:color w:val="auto"/>
              </w:rPr>
            </w:pPr>
          </w:p>
        </w:tc>
      </w:tr>
      <w:tr>
        <w:trPr>
          <w:trHeight w:val="168"/>
        </w:trPr>
        <w:tc>
          <w:tcPr>
            <w:tcW w:w="2700" w:type="dxa"/>
            <w:vAlign w:val="bottom"/>
          </w:tcPr>
          <w:p>
            <w:pPr>
              <w:spacing w:after="0"/>
              <w:rPr>
                <w:sz w:val="20"/>
                <w:szCs w:val="20"/>
                <w:color w:val="auto"/>
              </w:rPr>
            </w:pPr>
            <w:r>
              <w:rPr>
                <w:rFonts w:ascii="Arial" w:cs="Arial" w:eastAsia="Arial" w:hAnsi="Arial"/>
                <w:sz w:val="13"/>
                <w:szCs w:val="13"/>
                <w:color w:val="auto"/>
              </w:rPr>
              <w:t>Other comprehensive income (loss)</w:t>
            </w:r>
          </w:p>
        </w:tc>
        <w:tc>
          <w:tcPr>
            <w:tcW w:w="960" w:type="dxa"/>
            <w:vAlign w:val="bottom"/>
            <w:gridSpan w:val="3"/>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4"/>
                <w:szCs w:val="14"/>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3"/>
                <w:szCs w:val="13"/>
                <w:color w:val="auto"/>
              </w:rPr>
              <w:t>(24)</w:t>
            </w:r>
          </w:p>
        </w:tc>
        <w:tc>
          <w:tcPr>
            <w:tcW w:w="100" w:type="dxa"/>
            <w:vAlign w:val="bottom"/>
          </w:tcPr>
          <w:p>
            <w:pPr>
              <w:spacing w:after="0"/>
              <w:rPr>
                <w:sz w:val="14"/>
                <w:szCs w:val="14"/>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3"/>
                <w:szCs w:val="13"/>
                <w:color w:val="auto"/>
              </w:rPr>
              <w:t>25,329</w:t>
            </w:r>
          </w:p>
        </w:tc>
        <w:tc>
          <w:tcPr>
            <w:tcW w:w="120" w:type="dxa"/>
            <w:vAlign w:val="bottom"/>
          </w:tcPr>
          <w:p>
            <w:pPr>
              <w:spacing w:after="0"/>
              <w:rPr>
                <w:sz w:val="14"/>
                <w:szCs w:val="14"/>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25,305</w:t>
            </w:r>
          </w:p>
        </w:tc>
        <w:tc>
          <w:tcPr>
            <w:tcW w:w="0" w:type="dxa"/>
            <w:vAlign w:val="bottom"/>
          </w:tcPr>
          <w:p>
            <w:pPr>
              <w:spacing w:after="0"/>
              <w:rPr>
                <w:sz w:val="1"/>
                <w:szCs w:val="1"/>
                <w:color w:val="auto"/>
              </w:rPr>
            </w:pPr>
          </w:p>
        </w:tc>
      </w:tr>
      <w:tr>
        <w:trPr>
          <w:trHeight w:val="20"/>
        </w:trPr>
        <w:tc>
          <w:tcPr>
            <w:tcW w:w="27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2700" w:type="dxa"/>
            <w:vAlign w:val="bottom"/>
            <w:shd w:val="clear" w:color="auto" w:fill="CCEEFF"/>
          </w:tcPr>
          <w:p>
            <w:pPr>
              <w:spacing w:after="0" w:line="140" w:lineRule="exact"/>
              <w:rPr>
                <w:sz w:val="20"/>
                <w:szCs w:val="20"/>
                <w:color w:val="auto"/>
              </w:rPr>
            </w:pPr>
            <w:r>
              <w:rPr>
                <w:rFonts w:ascii="Arial" w:cs="Arial" w:eastAsia="Arial" w:hAnsi="Arial"/>
                <w:sz w:val="13"/>
                <w:szCs w:val="13"/>
                <w:color w:val="auto"/>
              </w:rPr>
              <w:t>Total comprehensive income</w:t>
            </w:r>
          </w:p>
        </w:tc>
        <w:tc>
          <w:tcPr>
            <w:tcW w:w="960" w:type="dxa"/>
            <w:vAlign w:val="bottom"/>
            <w:gridSpan w:val="3"/>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27,764</w:t>
            </w:r>
          </w:p>
        </w:tc>
        <w:tc>
          <w:tcPr>
            <w:tcW w:w="10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25,329</w:t>
            </w:r>
          </w:p>
        </w:tc>
        <w:tc>
          <w:tcPr>
            <w:tcW w:w="12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53,093</w:t>
            </w:r>
          </w:p>
        </w:tc>
        <w:tc>
          <w:tcPr>
            <w:tcW w:w="0" w:type="dxa"/>
            <w:vAlign w:val="bottom"/>
          </w:tcPr>
          <w:p>
            <w:pPr>
              <w:spacing w:after="0"/>
              <w:rPr>
                <w:sz w:val="1"/>
                <w:szCs w:val="1"/>
                <w:color w:val="auto"/>
              </w:rPr>
            </w:pPr>
          </w:p>
        </w:tc>
      </w:tr>
      <w:tr>
        <w:trPr>
          <w:trHeight w:val="26"/>
        </w:trPr>
        <w:tc>
          <w:tcPr>
            <w:tcW w:w="2700" w:type="dxa"/>
            <w:vAlign w:val="bottom"/>
            <w:vMerge w:val="restart"/>
          </w:tcPr>
          <w:p>
            <w:pPr>
              <w:spacing w:after="0"/>
              <w:rPr>
                <w:sz w:val="20"/>
                <w:szCs w:val="20"/>
                <w:color w:val="auto"/>
              </w:rPr>
            </w:pPr>
            <w:r>
              <w:rPr>
                <w:rFonts w:ascii="Arial" w:cs="Arial" w:eastAsia="Arial" w:hAnsi="Arial"/>
                <w:sz w:val="13"/>
                <w:szCs w:val="13"/>
                <w:color w:val="auto"/>
              </w:rPr>
              <w:t>Transactions with owners:</w:t>
            </w:r>
          </w:p>
        </w:tc>
        <w:tc>
          <w:tcPr>
            <w:tcW w:w="8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37"/>
        </w:trPr>
        <w:tc>
          <w:tcPr>
            <w:tcW w:w="2700" w:type="dxa"/>
            <w:vAlign w:val="bottom"/>
            <w:vMerge w:val="continue"/>
          </w:tcPr>
          <w:p>
            <w:pPr>
              <w:spacing w:after="0"/>
              <w:rPr>
                <w:sz w:val="11"/>
                <w:szCs w:val="11"/>
                <w:color w:val="auto"/>
              </w:rPr>
            </w:pP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700" w:type="dxa"/>
            <w:vAlign w:val="bottom"/>
            <w:shd w:val="clear" w:color="auto" w:fill="CCEEFF"/>
          </w:tcPr>
          <w:p>
            <w:pPr>
              <w:ind w:left="140"/>
              <w:spacing w:after="0" w:line="136" w:lineRule="exact"/>
              <w:rPr>
                <w:sz w:val="20"/>
                <w:szCs w:val="20"/>
                <w:color w:val="auto"/>
              </w:rPr>
            </w:pPr>
            <w:r>
              <w:rPr>
                <w:rFonts w:ascii="Arial" w:cs="Arial" w:eastAsia="Arial" w:hAnsi="Arial"/>
                <w:sz w:val="13"/>
                <w:szCs w:val="13"/>
                <w:color w:val="auto"/>
              </w:rPr>
              <w:t>Shares issued under employee stock option</w:t>
            </w:r>
          </w:p>
        </w:tc>
        <w:tc>
          <w:tcPr>
            <w:tcW w:w="8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shd w:val="clear" w:color="auto" w:fill="CCEEFF"/>
          </w:tcPr>
          <w:p>
            <w:pPr>
              <w:ind w:left="280"/>
              <w:spacing w:after="0"/>
              <w:rPr>
                <w:sz w:val="20"/>
                <w:szCs w:val="20"/>
                <w:color w:val="auto"/>
              </w:rPr>
            </w:pPr>
            <w:r>
              <w:rPr>
                <w:rFonts w:ascii="Arial" w:cs="Arial" w:eastAsia="Arial" w:hAnsi="Arial"/>
                <w:sz w:val="13"/>
                <w:szCs w:val="13"/>
                <w:color w:val="auto"/>
              </w:rPr>
              <w:t>plan (notes 10 and 11)</w:t>
            </w:r>
          </w:p>
        </w:tc>
        <w:tc>
          <w:tcPr>
            <w:tcW w:w="82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2,691,968</w:t>
            </w:r>
          </w:p>
        </w:tc>
        <w:tc>
          <w:tcPr>
            <w:tcW w:w="1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83,106</w:t>
            </w:r>
          </w:p>
        </w:tc>
        <w:tc>
          <w:tcPr>
            <w:tcW w:w="80" w:type="dxa"/>
            <w:vAlign w:val="bottom"/>
            <w:shd w:val="clear" w:color="auto" w:fill="CCEEFF"/>
          </w:tcPr>
          <w:p>
            <w:pPr>
              <w:spacing w:after="0"/>
              <w:rPr>
                <w:sz w:val="13"/>
                <w:szCs w:val="13"/>
                <w:color w:val="auto"/>
              </w:rPr>
            </w:pP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(18,683)</w:t>
            </w: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3"/>
                <w:szCs w:val="13"/>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64,423</w:t>
            </w:r>
          </w:p>
        </w:tc>
        <w:tc>
          <w:tcPr>
            <w:tcW w:w="0" w:type="dxa"/>
            <w:vAlign w:val="bottom"/>
          </w:tcPr>
          <w:p>
            <w:pPr>
              <w:spacing w:after="0"/>
              <w:rPr>
                <w:sz w:val="1"/>
                <w:szCs w:val="1"/>
                <w:color w:val="auto"/>
              </w:rPr>
            </w:pPr>
          </w:p>
        </w:tc>
      </w:tr>
      <w:tr>
        <w:trPr>
          <w:trHeight w:val="144"/>
        </w:trPr>
        <w:tc>
          <w:tcPr>
            <w:tcW w:w="2700" w:type="dxa"/>
            <w:vAlign w:val="bottom"/>
          </w:tcPr>
          <w:p>
            <w:pPr>
              <w:ind w:left="140"/>
              <w:spacing w:after="0" w:line="144" w:lineRule="exact"/>
              <w:rPr>
                <w:sz w:val="20"/>
                <w:szCs w:val="20"/>
                <w:color w:val="auto"/>
              </w:rPr>
            </w:pPr>
            <w:r>
              <w:rPr>
                <w:rFonts w:ascii="Arial" w:cs="Arial" w:eastAsia="Arial" w:hAnsi="Arial"/>
                <w:sz w:val="13"/>
                <w:szCs w:val="13"/>
                <w:color w:val="auto"/>
              </w:rPr>
              <w:t>Stock options (notes 10 and 11)</w:t>
            </w:r>
          </w:p>
        </w:tc>
        <w:tc>
          <w:tcPr>
            <w:tcW w:w="960" w:type="dxa"/>
            <w:vAlign w:val="bottom"/>
            <w:gridSpan w:val="3"/>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7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6,033</w:t>
            </w:r>
          </w:p>
        </w:tc>
        <w:tc>
          <w:tcPr>
            <w:tcW w:w="140" w:type="dxa"/>
            <w:vAlign w:val="bottom"/>
          </w:tcPr>
          <w:p>
            <w:pPr>
              <w:spacing w:after="0"/>
              <w:rPr>
                <w:sz w:val="12"/>
                <w:szCs w:val="12"/>
                <w:color w:val="auto"/>
              </w:rPr>
            </w:pPr>
          </w:p>
        </w:tc>
        <w:tc>
          <w:tcPr>
            <w:tcW w:w="86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2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10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6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6,033</w:t>
            </w:r>
          </w:p>
        </w:tc>
        <w:tc>
          <w:tcPr>
            <w:tcW w:w="0" w:type="dxa"/>
            <w:vAlign w:val="bottom"/>
          </w:tcPr>
          <w:p>
            <w:pPr>
              <w:spacing w:after="0"/>
              <w:rPr>
                <w:sz w:val="1"/>
                <w:szCs w:val="1"/>
                <w:color w:val="auto"/>
              </w:rPr>
            </w:pPr>
          </w:p>
        </w:tc>
      </w:tr>
      <w:tr>
        <w:trPr>
          <w:trHeight w:val="135"/>
        </w:trPr>
        <w:tc>
          <w:tcPr>
            <w:tcW w:w="2700" w:type="dxa"/>
            <w:vAlign w:val="bottom"/>
            <w:shd w:val="clear" w:color="auto" w:fill="CCEEFF"/>
          </w:tcPr>
          <w:p>
            <w:pPr>
              <w:ind w:left="140"/>
              <w:spacing w:after="0" w:line="136" w:lineRule="exact"/>
              <w:rPr>
                <w:sz w:val="20"/>
                <w:szCs w:val="20"/>
                <w:color w:val="auto"/>
              </w:rPr>
            </w:pPr>
            <w:r>
              <w:rPr>
                <w:rFonts w:ascii="Arial" w:cs="Arial" w:eastAsia="Arial" w:hAnsi="Arial"/>
                <w:sz w:val="13"/>
                <w:szCs w:val="13"/>
                <w:color w:val="auto"/>
                <w:w w:val="94"/>
              </w:rPr>
              <w:t>Shares issued under incentive share purchase</w:t>
            </w:r>
          </w:p>
        </w:tc>
        <w:tc>
          <w:tcPr>
            <w:tcW w:w="8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shd w:val="clear" w:color="auto" w:fill="CCEEFF"/>
          </w:tcPr>
          <w:p>
            <w:pPr>
              <w:ind w:left="280"/>
              <w:spacing w:after="0"/>
              <w:rPr>
                <w:sz w:val="20"/>
                <w:szCs w:val="20"/>
                <w:color w:val="auto"/>
              </w:rPr>
            </w:pPr>
            <w:r>
              <w:rPr>
                <w:rFonts w:ascii="Arial" w:cs="Arial" w:eastAsia="Arial" w:hAnsi="Arial"/>
                <w:sz w:val="13"/>
                <w:szCs w:val="13"/>
                <w:color w:val="auto"/>
              </w:rPr>
              <w:t>plan (note 11)</w:t>
            </w:r>
          </w:p>
        </w:tc>
        <w:tc>
          <w:tcPr>
            <w:tcW w:w="82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103,906</w:t>
            </w:r>
          </w:p>
        </w:tc>
        <w:tc>
          <w:tcPr>
            <w:tcW w:w="1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3,808</w:t>
            </w:r>
          </w:p>
        </w:tc>
        <w:tc>
          <w:tcPr>
            <w:tcW w:w="80" w:type="dxa"/>
            <w:vAlign w:val="bottom"/>
            <w:shd w:val="clear" w:color="auto" w:fill="CCEEFF"/>
          </w:tcPr>
          <w:p>
            <w:pPr>
              <w:spacing w:after="0"/>
              <w:rPr>
                <w:sz w:val="13"/>
                <w:szCs w:val="13"/>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3"/>
                <w:szCs w:val="13"/>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3,808</w:t>
            </w:r>
          </w:p>
        </w:tc>
        <w:tc>
          <w:tcPr>
            <w:tcW w:w="0" w:type="dxa"/>
            <w:vAlign w:val="bottom"/>
          </w:tcPr>
          <w:p>
            <w:pPr>
              <w:spacing w:after="0"/>
              <w:rPr>
                <w:sz w:val="1"/>
                <w:szCs w:val="1"/>
                <w:color w:val="auto"/>
              </w:rPr>
            </w:pPr>
          </w:p>
        </w:tc>
      </w:tr>
      <w:tr>
        <w:trPr>
          <w:trHeight w:val="135"/>
        </w:trPr>
        <w:tc>
          <w:tcPr>
            <w:tcW w:w="2700" w:type="dxa"/>
            <w:vAlign w:val="bottom"/>
          </w:tcPr>
          <w:p>
            <w:pPr>
              <w:ind w:left="140"/>
              <w:spacing w:after="0" w:line="136" w:lineRule="exact"/>
              <w:rPr>
                <w:sz w:val="20"/>
                <w:szCs w:val="20"/>
                <w:color w:val="auto"/>
              </w:rPr>
            </w:pPr>
            <w:r>
              <w:rPr>
                <w:rFonts w:ascii="Arial" w:cs="Arial" w:eastAsia="Arial" w:hAnsi="Arial"/>
                <w:sz w:val="13"/>
                <w:szCs w:val="13"/>
                <w:color w:val="auto"/>
              </w:rPr>
              <w:t>Shares issued under dividend reinvestment</w:t>
            </w: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tcPr>
          <w:p>
            <w:pPr>
              <w:ind w:left="280"/>
              <w:spacing w:after="0"/>
              <w:rPr>
                <w:sz w:val="20"/>
                <w:szCs w:val="20"/>
                <w:color w:val="auto"/>
              </w:rPr>
            </w:pPr>
            <w:r>
              <w:rPr>
                <w:rFonts w:ascii="Arial" w:cs="Arial" w:eastAsia="Arial" w:hAnsi="Arial"/>
                <w:sz w:val="13"/>
                <w:szCs w:val="13"/>
                <w:color w:val="auto"/>
              </w:rPr>
              <w:t>plan</w:t>
            </w:r>
          </w:p>
        </w:tc>
        <w:tc>
          <w:tcPr>
            <w:tcW w:w="820" w:type="dxa"/>
            <w:vAlign w:val="bottom"/>
            <w:gridSpan w:val="2"/>
          </w:tcPr>
          <w:p>
            <w:pPr>
              <w:jc w:val="right"/>
              <w:ind w:right="20"/>
              <w:spacing w:after="0"/>
              <w:rPr>
                <w:sz w:val="20"/>
                <w:szCs w:val="20"/>
                <w:color w:val="auto"/>
              </w:rPr>
            </w:pPr>
            <w:r>
              <w:rPr>
                <w:rFonts w:ascii="Arial" w:cs="Arial" w:eastAsia="Arial" w:hAnsi="Arial"/>
                <w:sz w:val="13"/>
                <w:szCs w:val="13"/>
                <w:color w:val="auto"/>
              </w:rPr>
              <w:t>82,056</w:t>
            </w: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3"/>
                <w:szCs w:val="13"/>
                <w:color w:val="auto"/>
              </w:rPr>
              <w:t>2,710</w:t>
            </w:r>
          </w:p>
        </w:tc>
        <w:tc>
          <w:tcPr>
            <w:tcW w:w="80" w:type="dxa"/>
            <w:vAlign w:val="bottom"/>
          </w:tcPr>
          <w:p>
            <w:pPr>
              <w:spacing w:after="0"/>
              <w:rPr>
                <w:sz w:val="13"/>
                <w:szCs w:val="13"/>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3"/>
                <w:szCs w:val="13"/>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2,710</w:t>
            </w:r>
          </w:p>
        </w:tc>
        <w:tc>
          <w:tcPr>
            <w:tcW w:w="0" w:type="dxa"/>
            <w:vAlign w:val="bottom"/>
          </w:tcPr>
          <w:p>
            <w:pPr>
              <w:spacing w:after="0"/>
              <w:rPr>
                <w:sz w:val="1"/>
                <w:szCs w:val="1"/>
                <w:color w:val="auto"/>
              </w:rPr>
            </w:pPr>
          </w:p>
        </w:tc>
      </w:tr>
      <w:tr>
        <w:trPr>
          <w:trHeight w:val="135"/>
        </w:trPr>
        <w:tc>
          <w:tcPr>
            <w:tcW w:w="2700" w:type="dxa"/>
            <w:vAlign w:val="bottom"/>
            <w:shd w:val="clear" w:color="auto" w:fill="CCEEFF"/>
          </w:tcPr>
          <w:p>
            <w:pPr>
              <w:ind w:left="140"/>
              <w:spacing w:after="0" w:line="136" w:lineRule="exact"/>
              <w:rPr>
                <w:sz w:val="20"/>
                <w:szCs w:val="20"/>
                <w:color w:val="auto"/>
              </w:rPr>
            </w:pPr>
            <w:r>
              <w:rPr>
                <w:rFonts w:ascii="Arial" w:cs="Arial" w:eastAsia="Arial" w:hAnsi="Arial"/>
                <w:sz w:val="13"/>
                <w:szCs w:val="13"/>
                <w:color w:val="auto"/>
              </w:rPr>
              <w:t>Shares issued under flow-through share</w:t>
            </w:r>
          </w:p>
        </w:tc>
        <w:tc>
          <w:tcPr>
            <w:tcW w:w="8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700" w:type="dxa"/>
            <w:vAlign w:val="bottom"/>
            <w:shd w:val="clear" w:color="auto" w:fill="CCEEFF"/>
          </w:tcPr>
          <w:p>
            <w:pPr>
              <w:ind w:left="280"/>
              <w:spacing w:after="0"/>
              <w:rPr>
                <w:sz w:val="20"/>
                <w:szCs w:val="20"/>
                <w:color w:val="auto"/>
              </w:rPr>
            </w:pPr>
            <w:r>
              <w:rPr>
                <w:rFonts w:ascii="Arial" w:cs="Arial" w:eastAsia="Arial" w:hAnsi="Arial"/>
                <w:sz w:val="13"/>
                <w:szCs w:val="13"/>
                <w:color w:val="auto"/>
              </w:rPr>
              <w:t>private placement (note 10)</w:t>
            </w:r>
          </w:p>
        </w:tc>
        <w:tc>
          <w:tcPr>
            <w:tcW w:w="82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374,869</w:t>
            </w:r>
          </w:p>
        </w:tc>
        <w:tc>
          <w:tcPr>
            <w:tcW w:w="1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13,593</w:t>
            </w:r>
          </w:p>
        </w:tc>
        <w:tc>
          <w:tcPr>
            <w:tcW w:w="80" w:type="dxa"/>
            <w:vAlign w:val="bottom"/>
            <w:shd w:val="clear" w:color="auto" w:fill="CCEEFF"/>
          </w:tcPr>
          <w:p>
            <w:pPr>
              <w:spacing w:after="0"/>
              <w:rPr>
                <w:sz w:val="13"/>
                <w:szCs w:val="13"/>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3"/>
                <w:szCs w:val="13"/>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13,593</w:t>
            </w:r>
          </w:p>
        </w:tc>
        <w:tc>
          <w:tcPr>
            <w:tcW w:w="0" w:type="dxa"/>
            <w:vAlign w:val="bottom"/>
          </w:tcPr>
          <w:p>
            <w:pPr>
              <w:spacing w:after="0"/>
              <w:rPr>
                <w:sz w:val="1"/>
                <w:szCs w:val="1"/>
                <w:color w:val="auto"/>
              </w:rPr>
            </w:pPr>
          </w:p>
        </w:tc>
      </w:tr>
      <w:tr>
        <w:trPr>
          <w:trHeight w:val="144"/>
        </w:trPr>
        <w:tc>
          <w:tcPr>
            <w:tcW w:w="2700" w:type="dxa"/>
            <w:vAlign w:val="bottom"/>
          </w:tcPr>
          <w:p>
            <w:pPr>
              <w:ind w:left="140"/>
              <w:spacing w:after="0" w:line="144" w:lineRule="exact"/>
              <w:rPr>
                <w:sz w:val="20"/>
                <w:szCs w:val="20"/>
                <w:color w:val="auto"/>
              </w:rPr>
            </w:pPr>
            <w:r>
              <w:rPr>
                <w:rFonts w:ascii="Arial" w:cs="Arial" w:eastAsia="Arial" w:hAnsi="Arial"/>
                <w:sz w:val="13"/>
                <w:szCs w:val="13"/>
                <w:color w:val="auto"/>
              </w:rPr>
              <w:t>Dividends declared ($0.08 per share)</w:t>
            </w:r>
          </w:p>
        </w:tc>
        <w:tc>
          <w:tcPr>
            <w:tcW w:w="960" w:type="dxa"/>
            <w:vAlign w:val="bottom"/>
            <w:gridSpan w:val="3"/>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7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86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2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(17,547)</w:t>
            </w:r>
          </w:p>
        </w:tc>
        <w:tc>
          <w:tcPr>
            <w:tcW w:w="100" w:type="dxa"/>
            <w:vAlign w:val="bottom"/>
          </w:tcPr>
          <w:p>
            <w:pPr>
              <w:spacing w:after="0"/>
              <w:rPr>
                <w:sz w:val="12"/>
                <w:szCs w:val="12"/>
                <w:color w:val="auto"/>
              </w:rPr>
            </w:pPr>
          </w:p>
        </w:tc>
        <w:tc>
          <w:tcPr>
            <w:tcW w:w="108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6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(17,547)</w:t>
            </w:r>
          </w:p>
        </w:tc>
        <w:tc>
          <w:tcPr>
            <w:tcW w:w="0" w:type="dxa"/>
            <w:vAlign w:val="bottom"/>
          </w:tcPr>
          <w:p>
            <w:pPr>
              <w:spacing w:after="0"/>
              <w:rPr>
                <w:sz w:val="1"/>
                <w:szCs w:val="1"/>
                <w:color w:val="auto"/>
              </w:rPr>
            </w:pPr>
          </w:p>
        </w:tc>
      </w:tr>
      <w:tr>
        <w:trPr>
          <w:trHeight w:val="135"/>
        </w:trPr>
        <w:tc>
          <w:tcPr>
            <w:tcW w:w="2700" w:type="dxa"/>
            <w:vAlign w:val="bottom"/>
            <w:shd w:val="clear" w:color="auto" w:fill="CCEEFF"/>
          </w:tcPr>
          <w:p>
            <w:pPr>
              <w:ind w:left="140"/>
              <w:spacing w:after="0" w:line="136" w:lineRule="exact"/>
              <w:rPr>
                <w:sz w:val="20"/>
                <w:szCs w:val="20"/>
                <w:color w:val="auto"/>
              </w:rPr>
            </w:pPr>
            <w:r>
              <w:rPr>
                <w:rFonts w:ascii="Arial" w:cs="Arial" w:eastAsia="Arial" w:hAnsi="Arial"/>
                <w:sz w:val="13"/>
                <w:szCs w:val="13"/>
                <w:color w:val="auto"/>
              </w:rPr>
              <w:t>Restricted Share Unit plan, Performance</w:t>
            </w:r>
          </w:p>
        </w:tc>
        <w:tc>
          <w:tcPr>
            <w:tcW w:w="8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2700" w:type="dxa"/>
            <w:vAlign w:val="bottom"/>
            <w:shd w:val="clear" w:color="auto" w:fill="CCEEFF"/>
          </w:tcPr>
          <w:p>
            <w:pPr>
              <w:ind w:left="280"/>
              <w:spacing w:after="0" w:line="144" w:lineRule="exact"/>
              <w:rPr>
                <w:sz w:val="20"/>
                <w:szCs w:val="20"/>
                <w:color w:val="auto"/>
              </w:rPr>
            </w:pPr>
            <w:r>
              <w:rPr>
                <w:rFonts w:ascii="Arial" w:cs="Arial" w:eastAsia="Arial" w:hAnsi="Arial"/>
                <w:sz w:val="13"/>
                <w:szCs w:val="13"/>
                <w:color w:val="auto"/>
                <w:w w:val="99"/>
              </w:rPr>
              <w:t>Share Unit plan, and Long Term Incentive</w:t>
            </w:r>
          </w:p>
        </w:tc>
        <w:tc>
          <w:tcPr>
            <w:tcW w:w="8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2700" w:type="dxa"/>
            <w:vAlign w:val="bottom"/>
            <w:shd w:val="clear" w:color="auto" w:fill="CCEEFF"/>
          </w:tcPr>
          <w:p>
            <w:pPr>
              <w:ind w:left="280"/>
              <w:spacing w:after="0"/>
              <w:rPr>
                <w:sz w:val="20"/>
                <w:szCs w:val="20"/>
                <w:color w:val="auto"/>
              </w:rPr>
            </w:pPr>
            <w:r>
              <w:rPr>
                <w:rFonts w:ascii="Arial" w:cs="Arial" w:eastAsia="Arial" w:hAnsi="Arial"/>
                <w:sz w:val="13"/>
                <w:szCs w:val="13"/>
                <w:color w:val="auto"/>
              </w:rPr>
              <w:t>Plan ("LTIP") (note 11)</w:t>
            </w:r>
          </w:p>
        </w:tc>
        <w:tc>
          <w:tcPr>
            <w:tcW w:w="960" w:type="dxa"/>
            <w:vAlign w:val="bottom"/>
            <w:gridSpan w:val="3"/>
            <w:shd w:val="clear" w:color="auto" w:fill="CCEEFF"/>
          </w:tcPr>
          <w:p>
            <w:pPr>
              <w:jc w:val="right"/>
              <w:ind w:right="100"/>
              <w:spacing w:after="0"/>
              <w:rPr>
                <w:sz w:val="20"/>
                <w:szCs w:val="20"/>
                <w:color w:val="auto"/>
              </w:rPr>
            </w:pPr>
            <w:r>
              <w:rPr>
                <w:rFonts w:ascii="Arial" w:cs="Arial" w:eastAsia="Arial" w:hAnsi="Arial"/>
                <w:sz w:val="13"/>
                <w:szCs w:val="13"/>
                <w:color w:val="auto"/>
              </w:rPr>
              <w:t>(425,342)</w:t>
            </w:r>
          </w:p>
        </w:tc>
        <w:tc>
          <w:tcPr>
            <w:tcW w:w="120" w:type="dxa"/>
            <w:vAlign w:val="bottom"/>
            <w:shd w:val="clear" w:color="auto" w:fill="CCEEFF"/>
          </w:tcPr>
          <w:p>
            <w:pPr>
              <w:spacing w:after="0"/>
              <w:rPr>
                <w:sz w:val="13"/>
                <w:szCs w:val="13"/>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(12,019)</w:t>
            </w:r>
          </w:p>
        </w:tc>
        <w:tc>
          <w:tcPr>
            <w:tcW w:w="80" w:type="dxa"/>
            <w:vAlign w:val="bottom"/>
            <w:shd w:val="clear" w:color="auto" w:fill="CCEEFF"/>
          </w:tcPr>
          <w:p>
            <w:pPr>
              <w:spacing w:after="0"/>
              <w:rPr>
                <w:sz w:val="13"/>
                <w:szCs w:val="13"/>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3"/>
                <w:szCs w:val="13"/>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(12,019)</w:t>
            </w:r>
          </w:p>
        </w:tc>
        <w:tc>
          <w:tcPr>
            <w:tcW w:w="0" w:type="dxa"/>
            <w:vAlign w:val="bottom"/>
          </w:tcPr>
          <w:p>
            <w:pPr>
              <w:spacing w:after="0"/>
              <w:rPr>
                <w:sz w:val="1"/>
                <w:szCs w:val="1"/>
                <w:color w:val="auto"/>
              </w:rPr>
            </w:pPr>
          </w:p>
        </w:tc>
      </w:tr>
      <w:tr>
        <w:trPr>
          <w:trHeight w:val="26"/>
        </w:trPr>
        <w:tc>
          <w:tcPr>
            <w:tcW w:w="2700" w:type="dxa"/>
            <w:vAlign w:val="bottom"/>
            <w:vMerge w:val="restart"/>
          </w:tcPr>
          <w:p>
            <w:pPr>
              <w:spacing w:after="0"/>
              <w:rPr>
                <w:sz w:val="20"/>
                <w:szCs w:val="20"/>
                <w:color w:val="auto"/>
              </w:rPr>
            </w:pPr>
            <w:r>
              <w:rPr>
                <w:rFonts w:ascii="Arial" w:cs="Arial" w:eastAsia="Arial" w:hAnsi="Arial"/>
                <w:sz w:val="13"/>
                <w:szCs w:val="13"/>
                <w:b w:val="1"/>
                <w:bCs w:val="1"/>
                <w:color w:val="auto"/>
              </w:rPr>
              <w:t>Balance March 31, 2016</w:t>
            </w:r>
          </w:p>
        </w:tc>
        <w:tc>
          <w:tcPr>
            <w:tcW w:w="82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2700" w:type="dxa"/>
            <w:vAlign w:val="bottom"/>
            <w:vMerge w:val="continue"/>
          </w:tcPr>
          <w:p>
            <w:pPr>
              <w:spacing w:after="0"/>
              <w:rPr>
                <w:sz w:val="13"/>
                <w:szCs w:val="13"/>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220,478,252</w:t>
            </w:r>
          </w:p>
        </w:tc>
        <w:tc>
          <w:tcPr>
            <w:tcW w:w="2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4,799,138</w:t>
            </w:r>
          </w:p>
        </w:tc>
        <w:tc>
          <w:tcPr>
            <w:tcW w:w="1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203,582</w:t>
            </w:r>
          </w:p>
        </w:tc>
        <w:tc>
          <w:tcPr>
            <w:tcW w:w="16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37,254</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96"/>
              </w:rPr>
              <w:t>(813,517)</w:t>
            </w:r>
          </w:p>
        </w:tc>
        <w:tc>
          <w:tcPr>
            <w:tcW w:w="160" w:type="dxa"/>
            <w:vAlign w:val="bottom"/>
          </w:tcPr>
          <w:p>
            <w:pPr>
              <w:spacing w:after="0"/>
              <w:rPr>
                <w:sz w:val="13"/>
                <w:szCs w:val="13"/>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28,657</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4,255,114</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70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77" w:lineRule="exact"/>
        <w:rPr>
          <w:sz w:val="20"/>
          <w:szCs w:val="20"/>
          <w:color w:val="auto"/>
        </w:rPr>
      </w:pPr>
    </w:p>
    <w:p>
      <w:pPr>
        <w:jc w:val="center"/>
        <w:ind w:right="100"/>
        <w:spacing w:after="0"/>
        <w:rPr>
          <w:sz w:val="20"/>
          <w:szCs w:val="20"/>
          <w:color w:val="auto"/>
        </w:rPr>
      </w:pPr>
      <w:r>
        <w:rPr>
          <w:rFonts w:ascii="Arial" w:cs="Arial" w:eastAsia="Arial" w:hAnsi="Arial"/>
          <w:sz w:val="17"/>
          <w:szCs w:val="17"/>
          <w:i w:val="1"/>
          <w:iCs w:val="1"/>
          <w:color w:val="auto"/>
        </w:rPr>
        <w:t>See accompanying notes</w:t>
      </w:r>
    </w:p>
    <w:p>
      <w:pPr>
        <w:spacing w:after="0" w:line="224" w:lineRule="exact"/>
        <w:rPr>
          <w:sz w:val="20"/>
          <w:szCs w:val="20"/>
          <w:color w:val="auto"/>
        </w:rPr>
      </w:pPr>
    </w:p>
    <w:p>
      <w:pPr>
        <w:jc w:val="center"/>
        <w:ind w:right="100"/>
        <w:spacing w:after="0"/>
        <w:rPr>
          <w:sz w:val="20"/>
          <w:szCs w:val="20"/>
          <w:color w:val="auto"/>
        </w:rPr>
      </w:pPr>
      <w:r>
        <w:rPr>
          <w:rFonts w:ascii="Arial" w:cs="Arial" w:eastAsia="Arial" w:hAnsi="Arial"/>
          <w:sz w:val="17"/>
          <w:szCs w:val="17"/>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240"/>
          </w:cols>
          <w:pgMar w:left="1380" w:top="337" w:right="1279" w:bottom="1440" w:gutter="0" w:footer="0" w:header="0"/>
        </w:sectPr>
      </w:pPr>
    </w:p>
    <w:bookmarkStart w:id="32" w:name="page33"/>
    <w:bookmarkEnd w:id="32"/>
    <w:p>
      <w:pPr>
        <w:jc w:val="center"/>
        <w:ind w:right="-19"/>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CONDENSED INTERIM CONSOLIDATED STATEMENTS OF CASH FLOWS</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(thousands of United States dollars)</w:t>
      </w:r>
    </w:p>
    <w:p>
      <w:pPr>
        <w:spacing w:after="0" w:line="14"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(Unaudited)</w:t>
      </w:r>
    </w:p>
    <w:p>
      <w:pPr>
        <w:spacing w:after="0" w:line="214" w:lineRule="exact"/>
        <w:rPr>
          <w:sz w:val="20"/>
          <w:szCs w:val="20"/>
          <w:color w:val="auto"/>
        </w:rPr>
      </w:pPr>
    </w:p>
    <w:p>
      <w:pPr>
        <w:jc w:val="center"/>
        <w:ind w:left="7080"/>
        <w:spacing w:after="0"/>
        <w:rPr>
          <w:sz w:val="20"/>
          <w:szCs w:val="20"/>
          <w:color w:val="auto"/>
        </w:rPr>
      </w:pPr>
      <w:r>
        <w:rPr>
          <w:rFonts w:ascii="Arial" w:cs="Arial" w:eastAsia="Arial" w:hAnsi="Arial"/>
          <w:sz w:val="13"/>
          <w:szCs w:val="13"/>
          <w:b w:val="1"/>
          <w:bCs w:val="1"/>
          <w:color w:val="auto"/>
        </w:rPr>
        <w:t>Three Months Ended</w:t>
      </w:r>
    </w:p>
    <w:p>
      <w:pPr>
        <w:spacing w:after="0" w:line="9" w:lineRule="exact"/>
        <w:rPr>
          <w:sz w:val="20"/>
          <w:szCs w:val="20"/>
          <w:color w:val="auto"/>
        </w:rPr>
      </w:pPr>
    </w:p>
    <w:p>
      <w:pPr>
        <w:jc w:val="center"/>
        <w:ind w:left="7080"/>
        <w:spacing w:after="0"/>
        <w:rPr>
          <w:sz w:val="20"/>
          <w:szCs w:val="20"/>
          <w:color w:val="auto"/>
        </w:rPr>
      </w:pPr>
      <w:r>
        <w:rPr>
          <w:rFonts w:ascii="Arial" w:cs="Arial" w:eastAsia="Arial" w:hAnsi="Arial"/>
          <w:sz w:val="13"/>
          <w:szCs w:val="13"/>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4598670</wp:posOffset>
            </wp:positionH>
            <wp:positionV relativeFrom="paragraph">
              <wp:posOffset>-3175</wp:posOffset>
            </wp:positionV>
            <wp:extent cx="1098550"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1098550" cy="8255"/>
                    </a:xfrm>
                    <a:prstGeom prst="rect">
                      <a:avLst/>
                    </a:prstGeom>
                    <a:noFill/>
                  </pic:spPr>
                </pic:pic>
              </a:graphicData>
            </a:graphic>
          </wp:anchor>
        </w:drawing>
      </w:r>
    </w:p>
    <w:p>
      <w:pPr>
        <w:spacing w:after="0" w:line="26" w:lineRule="exact"/>
        <w:rPr>
          <w:sz w:val="20"/>
          <w:szCs w:val="20"/>
          <w:color w:val="auto"/>
        </w:rPr>
      </w:pPr>
    </w:p>
    <w:tbl>
      <w:tblPr>
        <w:tblLayout w:type="fixed"/>
        <w:tblInd w:w="0" w:type="dxa"/>
        <w:tblCellMar>
          <w:top w:w="0" w:type="dxa"/>
          <w:left w:w="0" w:type="dxa"/>
          <w:bottom w:w="0" w:type="dxa"/>
          <w:right w:w="0" w:type="dxa"/>
        </w:tblCellMar>
      </w:tblPr>
      <w:tr>
        <w:trPr>
          <w:trHeight w:val="157"/>
        </w:trPr>
        <w:tc>
          <w:tcPr>
            <w:tcW w:w="724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640" w:type="dxa"/>
            <w:vAlign w:val="bottom"/>
            <w:tcBorders>
              <w:bottom w:val="single" w:sz="8" w:color="auto"/>
            </w:tcBorders>
          </w:tcPr>
          <w:p>
            <w:pPr>
              <w:jc w:val="right"/>
              <w:ind w:right="155"/>
              <w:spacing w:after="0"/>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660" w:type="dxa"/>
            <w:vAlign w:val="bottom"/>
            <w:tcBorders>
              <w:bottom w:val="single" w:sz="8" w:color="auto"/>
            </w:tcBorders>
          </w:tcPr>
          <w:p>
            <w:pPr>
              <w:jc w:val="right"/>
              <w:ind w:right="175"/>
              <w:spacing w:after="0"/>
              <w:rPr>
                <w:sz w:val="20"/>
                <w:szCs w:val="20"/>
                <w:color w:val="auto"/>
              </w:rPr>
            </w:pPr>
            <w:r>
              <w:rPr>
                <w:rFonts w:ascii="Arial" w:cs="Arial" w:eastAsia="Arial" w:hAnsi="Arial"/>
                <w:sz w:val="13"/>
                <w:szCs w:val="13"/>
                <w:b w:val="1"/>
                <w:bCs w:val="1"/>
                <w:color w:val="auto"/>
              </w:rPr>
              <w:t>2015</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724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OPERATING ACTIVITIES</w:t>
            </w: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240" w:type="dxa"/>
            <w:vAlign w:val="bottom"/>
          </w:tcPr>
          <w:p>
            <w:pPr>
              <w:ind w:left="20"/>
              <w:spacing w:after="0"/>
              <w:rPr>
                <w:sz w:val="20"/>
                <w:szCs w:val="20"/>
                <w:color w:val="auto"/>
              </w:rPr>
            </w:pPr>
            <w:r>
              <w:rPr>
                <w:rFonts w:ascii="Arial" w:cs="Arial" w:eastAsia="Arial" w:hAnsi="Arial"/>
                <w:sz w:val="17"/>
                <w:szCs w:val="17"/>
                <w:color w:val="auto"/>
              </w:rPr>
              <w:t>Net income for the period</w:t>
            </w:r>
          </w:p>
        </w:tc>
        <w:tc>
          <w:tcPr>
            <w:tcW w:w="140" w:type="dxa"/>
            <w:vAlign w:val="bottom"/>
          </w:tcPr>
          <w:p>
            <w:pPr>
              <w:jc w:val="right"/>
              <w:spacing w:after="0"/>
              <w:rPr>
                <w:sz w:val="20"/>
                <w:szCs w:val="20"/>
                <w:color w:val="auto"/>
              </w:rPr>
            </w:pPr>
            <w:r>
              <w:rPr>
                <w:rFonts w:ascii="Arial" w:cs="Arial" w:eastAsia="Arial" w:hAnsi="Arial"/>
                <w:sz w:val="17"/>
                <w:szCs w:val="17"/>
                <w:b w:val="1"/>
                <w:bCs w:val="1"/>
                <w:color w:val="auto"/>
                <w:w w:val="84"/>
              </w:rPr>
              <w:t>$</w:t>
            </w:r>
          </w:p>
        </w:tc>
        <w:tc>
          <w:tcPr>
            <w:tcW w:w="8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27,788</w:t>
            </w:r>
          </w:p>
        </w:tc>
        <w:tc>
          <w:tcPr>
            <w:tcW w:w="14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28,743</w:t>
            </w:r>
          </w:p>
        </w:tc>
        <w:tc>
          <w:tcPr>
            <w:tcW w:w="0" w:type="dxa"/>
            <w:vAlign w:val="bottom"/>
          </w:tcPr>
          <w:p>
            <w:pPr>
              <w:spacing w:after="0"/>
              <w:rPr>
                <w:sz w:val="1"/>
                <w:szCs w:val="1"/>
                <w:color w:val="auto"/>
              </w:rPr>
            </w:pPr>
          </w:p>
        </w:tc>
      </w:tr>
      <w:tr>
        <w:trPr>
          <w:trHeight w:val="210"/>
        </w:trPr>
        <w:tc>
          <w:tcPr>
            <w:tcW w:w="7240" w:type="dxa"/>
            <w:vAlign w:val="bottom"/>
            <w:shd w:val="clear" w:color="auto" w:fill="CCEEFF"/>
          </w:tcPr>
          <w:p>
            <w:pPr>
              <w:ind w:left="20"/>
              <w:spacing w:after="0"/>
              <w:rPr>
                <w:sz w:val="20"/>
                <w:szCs w:val="20"/>
                <w:color w:val="auto"/>
              </w:rPr>
            </w:pPr>
            <w:r>
              <w:rPr>
                <w:rFonts w:ascii="Arial" w:cs="Arial" w:eastAsia="Arial" w:hAnsi="Arial"/>
                <w:sz w:val="17"/>
                <w:szCs w:val="17"/>
                <w:color w:val="auto"/>
              </w:rPr>
              <w:t>Add (deduct) items not affecting cash:</w:t>
            </w: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240" w:type="dxa"/>
            <w:vAlign w:val="bottom"/>
          </w:tcPr>
          <w:p>
            <w:pPr>
              <w:ind w:left="160"/>
              <w:spacing w:after="0"/>
              <w:rPr>
                <w:sz w:val="20"/>
                <w:szCs w:val="20"/>
                <w:color w:val="auto"/>
              </w:rPr>
            </w:pPr>
            <w:r>
              <w:rPr>
                <w:rFonts w:ascii="Arial" w:cs="Arial" w:eastAsia="Arial" w:hAnsi="Arial"/>
                <w:sz w:val="17"/>
                <w:szCs w:val="17"/>
                <w:color w:val="auto"/>
              </w:rPr>
              <w:t>Amortization of property, plant and mine development</w:t>
            </w:r>
          </w:p>
        </w:tc>
        <w:tc>
          <w:tcPr>
            <w:tcW w:w="14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145,631</w:t>
            </w:r>
          </w:p>
        </w:tc>
        <w:tc>
          <w:tcPr>
            <w:tcW w:w="14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135,897</w:t>
            </w:r>
          </w:p>
        </w:tc>
        <w:tc>
          <w:tcPr>
            <w:tcW w:w="0" w:type="dxa"/>
            <w:vAlign w:val="bottom"/>
          </w:tcPr>
          <w:p>
            <w:pPr>
              <w:spacing w:after="0"/>
              <w:rPr>
                <w:sz w:val="1"/>
                <w:szCs w:val="1"/>
                <w:color w:val="auto"/>
              </w:rPr>
            </w:pPr>
          </w:p>
        </w:tc>
      </w:tr>
      <w:tr>
        <w:trPr>
          <w:trHeight w:val="210"/>
        </w:trPr>
        <w:tc>
          <w:tcPr>
            <w:tcW w:w="7240" w:type="dxa"/>
            <w:vAlign w:val="bottom"/>
            <w:shd w:val="clear" w:color="auto" w:fill="CCEEFF"/>
          </w:tcPr>
          <w:p>
            <w:pPr>
              <w:ind w:left="160"/>
              <w:spacing w:after="0"/>
              <w:rPr>
                <w:sz w:val="20"/>
                <w:szCs w:val="20"/>
                <w:color w:val="auto"/>
              </w:rPr>
            </w:pPr>
            <w:r>
              <w:rPr>
                <w:rFonts w:ascii="Arial" w:cs="Arial" w:eastAsia="Arial" w:hAnsi="Arial"/>
                <w:sz w:val="17"/>
                <w:szCs w:val="17"/>
                <w:color w:val="auto"/>
              </w:rPr>
              <w:t>Deferred income and mining taxes</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b w:val="1"/>
                <w:bCs w:val="1"/>
                <w:color w:val="auto"/>
              </w:rPr>
              <w:t>(16,986)</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19,300</w:t>
            </w:r>
          </w:p>
        </w:tc>
        <w:tc>
          <w:tcPr>
            <w:tcW w:w="0" w:type="dxa"/>
            <w:vAlign w:val="bottom"/>
          </w:tcPr>
          <w:p>
            <w:pPr>
              <w:spacing w:after="0"/>
              <w:rPr>
                <w:sz w:val="1"/>
                <w:szCs w:val="1"/>
                <w:color w:val="auto"/>
              </w:rPr>
            </w:pPr>
          </w:p>
        </w:tc>
      </w:tr>
      <w:tr>
        <w:trPr>
          <w:trHeight w:val="210"/>
        </w:trPr>
        <w:tc>
          <w:tcPr>
            <w:tcW w:w="7240" w:type="dxa"/>
            <w:vAlign w:val="bottom"/>
          </w:tcPr>
          <w:p>
            <w:pPr>
              <w:ind w:left="160"/>
              <w:spacing w:after="0"/>
              <w:rPr>
                <w:sz w:val="20"/>
                <w:szCs w:val="20"/>
                <w:color w:val="auto"/>
              </w:rPr>
            </w:pPr>
            <w:r>
              <w:rPr>
                <w:rFonts w:ascii="Arial" w:cs="Arial" w:eastAsia="Arial" w:hAnsi="Arial"/>
                <w:sz w:val="17"/>
                <w:szCs w:val="17"/>
                <w:color w:val="auto"/>
              </w:rPr>
              <w:t>Gain on sale of available-for-sale securities (note 7)</w:t>
            </w:r>
          </w:p>
        </w:tc>
        <w:tc>
          <w:tcPr>
            <w:tcW w:w="14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7"/>
                <w:szCs w:val="17"/>
                <w:b w:val="1"/>
                <w:bCs w:val="1"/>
                <w:color w:val="auto"/>
              </w:rPr>
              <w:t>(119)</w:t>
            </w:r>
          </w:p>
        </w:tc>
        <w:tc>
          <w:tcPr>
            <w:tcW w:w="14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7"/>
                <w:szCs w:val="17"/>
                <w:color w:val="auto"/>
              </w:rPr>
              <w:t>(21,049)</w:t>
            </w:r>
          </w:p>
        </w:tc>
        <w:tc>
          <w:tcPr>
            <w:tcW w:w="0" w:type="dxa"/>
            <w:vAlign w:val="bottom"/>
          </w:tcPr>
          <w:p>
            <w:pPr>
              <w:spacing w:after="0"/>
              <w:rPr>
                <w:sz w:val="1"/>
                <w:szCs w:val="1"/>
                <w:color w:val="auto"/>
              </w:rPr>
            </w:pPr>
          </w:p>
        </w:tc>
      </w:tr>
      <w:tr>
        <w:trPr>
          <w:trHeight w:val="210"/>
        </w:trPr>
        <w:tc>
          <w:tcPr>
            <w:tcW w:w="7240" w:type="dxa"/>
            <w:vAlign w:val="bottom"/>
            <w:shd w:val="clear" w:color="auto" w:fill="CCEEFF"/>
          </w:tcPr>
          <w:p>
            <w:pPr>
              <w:ind w:left="160"/>
              <w:spacing w:after="0"/>
              <w:rPr>
                <w:sz w:val="20"/>
                <w:szCs w:val="20"/>
                <w:color w:val="auto"/>
              </w:rPr>
            </w:pPr>
            <w:r>
              <w:rPr>
                <w:rFonts w:ascii="Arial" w:cs="Arial" w:eastAsia="Arial" w:hAnsi="Arial"/>
                <w:sz w:val="17"/>
                <w:szCs w:val="17"/>
                <w:color w:val="auto"/>
              </w:rPr>
              <w:t>Stock-based compensation (note 11)</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9,786</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11,718</w:t>
            </w:r>
          </w:p>
        </w:tc>
        <w:tc>
          <w:tcPr>
            <w:tcW w:w="0" w:type="dxa"/>
            <w:vAlign w:val="bottom"/>
          </w:tcPr>
          <w:p>
            <w:pPr>
              <w:spacing w:after="0"/>
              <w:rPr>
                <w:sz w:val="1"/>
                <w:szCs w:val="1"/>
                <w:color w:val="auto"/>
              </w:rPr>
            </w:pPr>
          </w:p>
        </w:tc>
      </w:tr>
      <w:tr>
        <w:trPr>
          <w:trHeight w:val="210"/>
        </w:trPr>
        <w:tc>
          <w:tcPr>
            <w:tcW w:w="7240" w:type="dxa"/>
            <w:vAlign w:val="bottom"/>
          </w:tcPr>
          <w:p>
            <w:pPr>
              <w:ind w:left="160"/>
              <w:spacing w:after="0"/>
              <w:rPr>
                <w:sz w:val="20"/>
                <w:szCs w:val="20"/>
                <w:color w:val="auto"/>
              </w:rPr>
            </w:pPr>
            <w:r>
              <w:rPr>
                <w:rFonts w:ascii="Arial" w:cs="Arial" w:eastAsia="Arial" w:hAnsi="Arial"/>
                <w:sz w:val="17"/>
                <w:szCs w:val="17"/>
                <w:color w:val="auto"/>
              </w:rPr>
              <w:t>Impairment loss on available-for-sale securities (note 7)</w:t>
            </w:r>
          </w:p>
        </w:tc>
        <w:tc>
          <w:tcPr>
            <w:tcW w:w="14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w:t>
            </w:r>
          </w:p>
        </w:tc>
        <w:tc>
          <w:tcPr>
            <w:tcW w:w="14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685</w:t>
            </w:r>
          </w:p>
        </w:tc>
        <w:tc>
          <w:tcPr>
            <w:tcW w:w="0" w:type="dxa"/>
            <w:vAlign w:val="bottom"/>
          </w:tcPr>
          <w:p>
            <w:pPr>
              <w:spacing w:after="0"/>
              <w:rPr>
                <w:sz w:val="1"/>
                <w:szCs w:val="1"/>
                <w:color w:val="auto"/>
              </w:rPr>
            </w:pPr>
          </w:p>
        </w:tc>
      </w:tr>
      <w:tr>
        <w:trPr>
          <w:trHeight w:val="210"/>
        </w:trPr>
        <w:tc>
          <w:tcPr>
            <w:tcW w:w="7240" w:type="dxa"/>
            <w:vAlign w:val="bottom"/>
            <w:shd w:val="clear" w:color="auto" w:fill="CCEEFF"/>
          </w:tcPr>
          <w:p>
            <w:pPr>
              <w:ind w:left="160"/>
              <w:spacing w:after="0"/>
              <w:rPr>
                <w:sz w:val="20"/>
                <w:szCs w:val="20"/>
                <w:color w:val="auto"/>
              </w:rPr>
            </w:pPr>
            <w:r>
              <w:rPr>
                <w:rFonts w:ascii="Arial" w:cs="Arial" w:eastAsia="Arial" w:hAnsi="Arial"/>
                <w:sz w:val="17"/>
                <w:szCs w:val="17"/>
                <w:color w:val="auto"/>
              </w:rPr>
              <w:t>Foreign currency translation loss (gain)</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6,770</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(11,690)</w:t>
            </w:r>
          </w:p>
        </w:tc>
        <w:tc>
          <w:tcPr>
            <w:tcW w:w="0" w:type="dxa"/>
            <w:vAlign w:val="bottom"/>
          </w:tcPr>
          <w:p>
            <w:pPr>
              <w:spacing w:after="0"/>
              <w:rPr>
                <w:sz w:val="1"/>
                <w:szCs w:val="1"/>
                <w:color w:val="auto"/>
              </w:rPr>
            </w:pPr>
          </w:p>
        </w:tc>
      </w:tr>
      <w:tr>
        <w:trPr>
          <w:trHeight w:val="210"/>
        </w:trPr>
        <w:tc>
          <w:tcPr>
            <w:tcW w:w="7240" w:type="dxa"/>
            <w:vAlign w:val="bottom"/>
          </w:tcPr>
          <w:p>
            <w:pPr>
              <w:ind w:left="160"/>
              <w:spacing w:after="0"/>
              <w:rPr>
                <w:sz w:val="20"/>
                <w:szCs w:val="20"/>
                <w:color w:val="auto"/>
              </w:rPr>
            </w:pPr>
            <w:r>
              <w:rPr>
                <w:rFonts w:ascii="Arial" w:cs="Arial" w:eastAsia="Arial" w:hAnsi="Arial"/>
                <w:sz w:val="17"/>
                <w:szCs w:val="17"/>
                <w:color w:val="auto"/>
              </w:rPr>
              <w:t>Other</w:t>
            </w:r>
          </w:p>
        </w:tc>
        <w:tc>
          <w:tcPr>
            <w:tcW w:w="14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7"/>
                <w:szCs w:val="17"/>
                <w:b w:val="1"/>
                <w:bCs w:val="1"/>
                <w:color w:val="auto"/>
              </w:rPr>
              <w:t>(4,159)</w:t>
            </w:r>
          </w:p>
        </w:tc>
        <w:tc>
          <w:tcPr>
            <w:tcW w:w="14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13,536</w:t>
            </w:r>
          </w:p>
        </w:tc>
        <w:tc>
          <w:tcPr>
            <w:tcW w:w="0" w:type="dxa"/>
            <w:vAlign w:val="bottom"/>
          </w:tcPr>
          <w:p>
            <w:pPr>
              <w:spacing w:after="0"/>
              <w:rPr>
                <w:sz w:val="1"/>
                <w:szCs w:val="1"/>
                <w:color w:val="auto"/>
              </w:rPr>
            </w:pPr>
          </w:p>
        </w:tc>
      </w:tr>
      <w:tr>
        <w:trPr>
          <w:trHeight w:val="210"/>
        </w:trPr>
        <w:tc>
          <w:tcPr>
            <w:tcW w:w="7240" w:type="dxa"/>
            <w:vAlign w:val="bottom"/>
            <w:shd w:val="clear" w:color="auto" w:fill="CCEEFF"/>
          </w:tcPr>
          <w:p>
            <w:pPr>
              <w:ind w:left="20"/>
              <w:spacing w:after="0"/>
              <w:rPr>
                <w:sz w:val="20"/>
                <w:szCs w:val="20"/>
                <w:color w:val="auto"/>
              </w:rPr>
            </w:pPr>
            <w:r>
              <w:rPr>
                <w:rFonts w:ascii="Arial" w:cs="Arial" w:eastAsia="Arial" w:hAnsi="Arial"/>
                <w:sz w:val="17"/>
                <w:szCs w:val="17"/>
                <w:color w:val="auto"/>
              </w:rPr>
              <w:t>Adjustment for settlement of reclamation provision</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b w:val="1"/>
                <w:bCs w:val="1"/>
                <w:color w:val="auto"/>
              </w:rPr>
              <w:t>(1,232)</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(302)</w:t>
            </w:r>
          </w:p>
        </w:tc>
        <w:tc>
          <w:tcPr>
            <w:tcW w:w="0" w:type="dxa"/>
            <w:vAlign w:val="bottom"/>
          </w:tcPr>
          <w:p>
            <w:pPr>
              <w:spacing w:after="0"/>
              <w:rPr>
                <w:sz w:val="1"/>
                <w:szCs w:val="1"/>
                <w:color w:val="auto"/>
              </w:rPr>
            </w:pPr>
          </w:p>
        </w:tc>
      </w:tr>
      <w:tr>
        <w:trPr>
          <w:trHeight w:val="210"/>
        </w:trPr>
        <w:tc>
          <w:tcPr>
            <w:tcW w:w="7240" w:type="dxa"/>
            <w:vAlign w:val="bottom"/>
          </w:tcPr>
          <w:p>
            <w:pPr>
              <w:ind w:left="20"/>
              <w:spacing w:after="0"/>
              <w:rPr>
                <w:sz w:val="20"/>
                <w:szCs w:val="20"/>
                <w:color w:val="auto"/>
              </w:rPr>
            </w:pPr>
            <w:r>
              <w:rPr>
                <w:rFonts w:ascii="Arial" w:cs="Arial" w:eastAsia="Arial" w:hAnsi="Arial"/>
                <w:sz w:val="17"/>
                <w:szCs w:val="17"/>
                <w:color w:val="auto"/>
              </w:rPr>
              <w:t>Changes in non-cash working capital balances:</w:t>
            </w: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240" w:type="dxa"/>
            <w:vAlign w:val="bottom"/>
            <w:shd w:val="clear" w:color="auto" w:fill="CCEEFF"/>
          </w:tcPr>
          <w:p>
            <w:pPr>
              <w:ind w:left="160"/>
              <w:spacing w:after="0"/>
              <w:rPr>
                <w:sz w:val="20"/>
                <w:szCs w:val="20"/>
                <w:color w:val="auto"/>
              </w:rPr>
            </w:pPr>
            <w:r>
              <w:rPr>
                <w:rFonts w:ascii="Arial" w:cs="Arial" w:eastAsia="Arial" w:hAnsi="Arial"/>
                <w:sz w:val="17"/>
                <w:szCs w:val="17"/>
                <w:color w:val="auto"/>
              </w:rPr>
              <w:t>Trade receivables</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2,073</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(1,484)</w:t>
            </w:r>
          </w:p>
        </w:tc>
        <w:tc>
          <w:tcPr>
            <w:tcW w:w="0" w:type="dxa"/>
            <w:vAlign w:val="bottom"/>
          </w:tcPr>
          <w:p>
            <w:pPr>
              <w:spacing w:after="0"/>
              <w:rPr>
                <w:sz w:val="1"/>
                <w:szCs w:val="1"/>
                <w:color w:val="auto"/>
              </w:rPr>
            </w:pPr>
          </w:p>
        </w:tc>
      </w:tr>
      <w:tr>
        <w:trPr>
          <w:trHeight w:val="210"/>
        </w:trPr>
        <w:tc>
          <w:tcPr>
            <w:tcW w:w="7240" w:type="dxa"/>
            <w:vAlign w:val="bottom"/>
          </w:tcPr>
          <w:p>
            <w:pPr>
              <w:ind w:left="160"/>
              <w:spacing w:after="0"/>
              <w:rPr>
                <w:sz w:val="20"/>
                <w:szCs w:val="20"/>
                <w:color w:val="auto"/>
              </w:rPr>
            </w:pPr>
            <w:r>
              <w:rPr>
                <w:rFonts w:ascii="Arial" w:cs="Arial" w:eastAsia="Arial" w:hAnsi="Arial"/>
                <w:sz w:val="17"/>
                <w:szCs w:val="17"/>
                <w:color w:val="auto"/>
              </w:rPr>
              <w:t>Income taxes</w:t>
            </w:r>
          </w:p>
        </w:tc>
        <w:tc>
          <w:tcPr>
            <w:tcW w:w="14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7"/>
                <w:szCs w:val="17"/>
                <w:b w:val="1"/>
                <w:bCs w:val="1"/>
                <w:color w:val="auto"/>
              </w:rPr>
              <w:t>(13,724)</w:t>
            </w:r>
          </w:p>
        </w:tc>
        <w:tc>
          <w:tcPr>
            <w:tcW w:w="14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7"/>
                <w:szCs w:val="17"/>
                <w:color w:val="auto"/>
              </w:rPr>
              <w:t>(24,063)</w:t>
            </w:r>
          </w:p>
        </w:tc>
        <w:tc>
          <w:tcPr>
            <w:tcW w:w="0" w:type="dxa"/>
            <w:vAlign w:val="bottom"/>
          </w:tcPr>
          <w:p>
            <w:pPr>
              <w:spacing w:after="0"/>
              <w:rPr>
                <w:sz w:val="1"/>
                <w:szCs w:val="1"/>
                <w:color w:val="auto"/>
              </w:rPr>
            </w:pPr>
          </w:p>
        </w:tc>
      </w:tr>
      <w:tr>
        <w:trPr>
          <w:trHeight w:val="210"/>
        </w:trPr>
        <w:tc>
          <w:tcPr>
            <w:tcW w:w="7240" w:type="dxa"/>
            <w:vAlign w:val="bottom"/>
            <w:shd w:val="clear" w:color="auto" w:fill="CCEEFF"/>
          </w:tcPr>
          <w:p>
            <w:pPr>
              <w:ind w:left="160"/>
              <w:spacing w:after="0"/>
              <w:rPr>
                <w:sz w:val="20"/>
                <w:szCs w:val="20"/>
                <w:color w:val="auto"/>
              </w:rPr>
            </w:pPr>
            <w:r>
              <w:rPr>
                <w:rFonts w:ascii="Arial" w:cs="Arial" w:eastAsia="Arial" w:hAnsi="Arial"/>
                <w:sz w:val="17"/>
                <w:szCs w:val="17"/>
                <w:color w:val="auto"/>
              </w:rPr>
              <w:t>Inventories</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24,611</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10,412</w:t>
            </w:r>
          </w:p>
        </w:tc>
        <w:tc>
          <w:tcPr>
            <w:tcW w:w="0" w:type="dxa"/>
            <w:vAlign w:val="bottom"/>
          </w:tcPr>
          <w:p>
            <w:pPr>
              <w:spacing w:after="0"/>
              <w:rPr>
                <w:sz w:val="1"/>
                <w:szCs w:val="1"/>
                <w:color w:val="auto"/>
              </w:rPr>
            </w:pPr>
          </w:p>
        </w:tc>
      </w:tr>
      <w:tr>
        <w:trPr>
          <w:trHeight w:val="210"/>
        </w:trPr>
        <w:tc>
          <w:tcPr>
            <w:tcW w:w="7240" w:type="dxa"/>
            <w:vAlign w:val="bottom"/>
          </w:tcPr>
          <w:p>
            <w:pPr>
              <w:ind w:left="160"/>
              <w:spacing w:after="0"/>
              <w:rPr>
                <w:sz w:val="20"/>
                <w:szCs w:val="20"/>
                <w:color w:val="auto"/>
              </w:rPr>
            </w:pPr>
            <w:r>
              <w:rPr>
                <w:rFonts w:ascii="Arial" w:cs="Arial" w:eastAsia="Arial" w:hAnsi="Arial"/>
                <w:sz w:val="17"/>
                <w:szCs w:val="17"/>
                <w:color w:val="auto"/>
              </w:rPr>
              <w:t>Other current assets</w:t>
            </w:r>
          </w:p>
        </w:tc>
        <w:tc>
          <w:tcPr>
            <w:tcW w:w="14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4,020</w:t>
            </w:r>
          </w:p>
        </w:tc>
        <w:tc>
          <w:tcPr>
            <w:tcW w:w="14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7"/>
                <w:szCs w:val="17"/>
                <w:color w:val="auto"/>
              </w:rPr>
              <w:t>(4,837)</w:t>
            </w:r>
          </w:p>
        </w:tc>
        <w:tc>
          <w:tcPr>
            <w:tcW w:w="0" w:type="dxa"/>
            <w:vAlign w:val="bottom"/>
          </w:tcPr>
          <w:p>
            <w:pPr>
              <w:spacing w:after="0"/>
              <w:rPr>
                <w:sz w:val="1"/>
                <w:szCs w:val="1"/>
                <w:color w:val="auto"/>
              </w:rPr>
            </w:pPr>
          </w:p>
        </w:tc>
      </w:tr>
      <w:tr>
        <w:trPr>
          <w:trHeight w:val="210"/>
        </w:trPr>
        <w:tc>
          <w:tcPr>
            <w:tcW w:w="7240" w:type="dxa"/>
            <w:vAlign w:val="bottom"/>
            <w:shd w:val="clear" w:color="auto" w:fill="CCEEFF"/>
          </w:tcPr>
          <w:p>
            <w:pPr>
              <w:ind w:left="160"/>
              <w:spacing w:after="0"/>
              <w:rPr>
                <w:sz w:val="20"/>
                <w:szCs w:val="20"/>
                <w:color w:val="auto"/>
              </w:rPr>
            </w:pPr>
            <w:r>
              <w:rPr>
                <w:rFonts w:ascii="Arial" w:cs="Arial" w:eastAsia="Arial" w:hAnsi="Arial"/>
                <w:sz w:val="17"/>
                <w:szCs w:val="17"/>
                <w:color w:val="auto"/>
              </w:rPr>
              <w:t>Accounts payable and accrued liabilities</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b w:val="1"/>
                <w:bCs w:val="1"/>
                <w:color w:val="auto"/>
              </w:rPr>
              <w:t>(46,336)</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(20,582)</w:t>
            </w:r>
          </w:p>
        </w:tc>
        <w:tc>
          <w:tcPr>
            <w:tcW w:w="0" w:type="dxa"/>
            <w:vAlign w:val="bottom"/>
          </w:tcPr>
          <w:p>
            <w:pPr>
              <w:spacing w:after="0"/>
              <w:rPr>
                <w:sz w:val="1"/>
                <w:szCs w:val="1"/>
                <w:color w:val="auto"/>
              </w:rPr>
            </w:pPr>
          </w:p>
        </w:tc>
      </w:tr>
      <w:tr>
        <w:trPr>
          <w:trHeight w:val="228"/>
        </w:trPr>
        <w:tc>
          <w:tcPr>
            <w:tcW w:w="7240" w:type="dxa"/>
            <w:vAlign w:val="bottom"/>
          </w:tcPr>
          <w:p>
            <w:pPr>
              <w:ind w:left="160"/>
              <w:spacing w:after="0"/>
              <w:rPr>
                <w:sz w:val="20"/>
                <w:szCs w:val="20"/>
                <w:color w:val="auto"/>
              </w:rPr>
            </w:pPr>
            <w:r>
              <w:rPr>
                <w:rFonts w:ascii="Arial" w:cs="Arial" w:eastAsia="Arial" w:hAnsi="Arial"/>
                <w:sz w:val="17"/>
                <w:szCs w:val="17"/>
                <w:color w:val="auto"/>
              </w:rPr>
              <w:t>Interest payable</w:t>
            </w:r>
          </w:p>
        </w:tc>
        <w:tc>
          <w:tcPr>
            <w:tcW w:w="140" w:type="dxa"/>
            <w:vAlign w:val="bottom"/>
          </w:tcPr>
          <w:p>
            <w:pPr>
              <w:spacing w:after="0"/>
              <w:rPr>
                <w:sz w:val="19"/>
                <w:szCs w:val="19"/>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7,581</w:t>
            </w:r>
          </w:p>
        </w:tc>
        <w:tc>
          <w:tcPr>
            <w:tcW w:w="140" w:type="dxa"/>
            <w:vAlign w:val="bottom"/>
          </w:tcPr>
          <w:p>
            <w:pPr>
              <w:spacing w:after="0"/>
              <w:rPr>
                <w:sz w:val="19"/>
                <w:szCs w:val="19"/>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7,171</w:t>
            </w:r>
          </w:p>
        </w:tc>
        <w:tc>
          <w:tcPr>
            <w:tcW w:w="0" w:type="dxa"/>
            <w:vAlign w:val="bottom"/>
          </w:tcPr>
          <w:p>
            <w:pPr>
              <w:spacing w:after="0"/>
              <w:rPr>
                <w:sz w:val="1"/>
                <w:szCs w:val="1"/>
                <w:color w:val="auto"/>
              </w:rPr>
            </w:pPr>
          </w:p>
        </w:tc>
      </w:tr>
      <w:tr>
        <w:trPr>
          <w:trHeight w:val="21"/>
        </w:trPr>
        <w:tc>
          <w:tcPr>
            <w:tcW w:w="72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24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 provided by operating activities</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145,704</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143,455</w:t>
            </w:r>
          </w:p>
        </w:tc>
        <w:tc>
          <w:tcPr>
            <w:tcW w:w="0" w:type="dxa"/>
            <w:vAlign w:val="bottom"/>
          </w:tcPr>
          <w:p>
            <w:pPr>
              <w:spacing w:after="0"/>
              <w:rPr>
                <w:sz w:val="1"/>
                <w:szCs w:val="1"/>
                <w:color w:val="auto"/>
              </w:rPr>
            </w:pPr>
          </w:p>
        </w:tc>
      </w:tr>
      <w:tr>
        <w:trPr>
          <w:trHeight w:val="26"/>
        </w:trPr>
        <w:tc>
          <w:tcPr>
            <w:tcW w:w="7240" w:type="dxa"/>
            <w:vAlign w:val="bottom"/>
            <w:vMerge w:val="restart"/>
          </w:tcPr>
          <w:p>
            <w:pPr>
              <w:ind w:left="20"/>
              <w:spacing w:after="0"/>
              <w:rPr>
                <w:sz w:val="20"/>
                <w:szCs w:val="20"/>
                <w:color w:val="auto"/>
              </w:rPr>
            </w:pPr>
            <w:r>
              <w:rPr>
                <w:rFonts w:ascii="Arial" w:cs="Arial" w:eastAsia="Arial" w:hAnsi="Arial"/>
                <w:sz w:val="17"/>
                <w:szCs w:val="17"/>
                <w:b w:val="1"/>
                <w:bCs w:val="1"/>
                <w:color w:val="auto"/>
              </w:rPr>
              <w:t>INVESTING ACTIVITIES</w:t>
            </w: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98"/>
        </w:trPr>
        <w:tc>
          <w:tcPr>
            <w:tcW w:w="7240" w:type="dxa"/>
            <w:vAlign w:val="bottom"/>
            <w:vMerge w:val="continue"/>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7240" w:type="dxa"/>
            <w:vAlign w:val="bottom"/>
            <w:shd w:val="clear" w:color="auto" w:fill="CCEEFF"/>
          </w:tcPr>
          <w:p>
            <w:pPr>
              <w:ind w:left="20"/>
              <w:spacing w:after="0"/>
              <w:rPr>
                <w:sz w:val="20"/>
                <w:szCs w:val="20"/>
                <w:color w:val="auto"/>
              </w:rPr>
            </w:pPr>
            <w:r>
              <w:rPr>
                <w:rFonts w:ascii="Arial" w:cs="Arial" w:eastAsia="Arial" w:hAnsi="Arial"/>
                <w:sz w:val="17"/>
                <w:szCs w:val="17"/>
                <w:color w:val="auto"/>
              </w:rPr>
              <w:t>Additions to property, plant and mine development (note 8)</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b w:val="1"/>
                <w:bCs w:val="1"/>
                <w:color w:val="auto"/>
                <w:w w:val="96"/>
              </w:rPr>
              <w:t>(100,694)</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(82,887)</w:t>
            </w:r>
          </w:p>
        </w:tc>
        <w:tc>
          <w:tcPr>
            <w:tcW w:w="0" w:type="dxa"/>
            <w:vAlign w:val="bottom"/>
          </w:tcPr>
          <w:p>
            <w:pPr>
              <w:spacing w:after="0"/>
              <w:rPr>
                <w:sz w:val="1"/>
                <w:szCs w:val="1"/>
                <w:color w:val="auto"/>
              </w:rPr>
            </w:pPr>
          </w:p>
        </w:tc>
      </w:tr>
      <w:tr>
        <w:trPr>
          <w:trHeight w:val="210"/>
        </w:trPr>
        <w:tc>
          <w:tcPr>
            <w:tcW w:w="7240" w:type="dxa"/>
            <w:vAlign w:val="bottom"/>
          </w:tcPr>
          <w:p>
            <w:pPr>
              <w:ind w:left="20"/>
              <w:spacing w:after="0"/>
              <w:rPr>
                <w:sz w:val="20"/>
                <w:szCs w:val="20"/>
                <w:color w:val="auto"/>
              </w:rPr>
            </w:pPr>
            <w:r>
              <w:rPr>
                <w:rFonts w:ascii="Arial" w:cs="Arial" w:eastAsia="Arial" w:hAnsi="Arial"/>
                <w:sz w:val="17"/>
                <w:szCs w:val="17"/>
                <w:color w:val="auto"/>
              </w:rPr>
              <w:t>Acquisitions, net of cash and cash equivalents acquired</w:t>
            </w:r>
          </w:p>
        </w:tc>
        <w:tc>
          <w:tcPr>
            <w:tcW w:w="14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w:t>
            </w:r>
          </w:p>
        </w:tc>
        <w:tc>
          <w:tcPr>
            <w:tcW w:w="14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7"/>
                <w:szCs w:val="17"/>
                <w:color w:val="auto"/>
              </w:rPr>
              <w:t>(7,000)</w:t>
            </w:r>
          </w:p>
        </w:tc>
        <w:tc>
          <w:tcPr>
            <w:tcW w:w="0" w:type="dxa"/>
            <w:vAlign w:val="bottom"/>
          </w:tcPr>
          <w:p>
            <w:pPr>
              <w:spacing w:after="0"/>
              <w:rPr>
                <w:sz w:val="1"/>
                <w:szCs w:val="1"/>
                <w:color w:val="auto"/>
              </w:rPr>
            </w:pPr>
          </w:p>
        </w:tc>
      </w:tr>
      <w:tr>
        <w:trPr>
          <w:trHeight w:val="210"/>
        </w:trPr>
        <w:tc>
          <w:tcPr>
            <w:tcW w:w="724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sales (purchases) of short-term investments</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2,235</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(101)</w:t>
            </w:r>
          </w:p>
        </w:tc>
        <w:tc>
          <w:tcPr>
            <w:tcW w:w="0" w:type="dxa"/>
            <w:vAlign w:val="bottom"/>
          </w:tcPr>
          <w:p>
            <w:pPr>
              <w:spacing w:after="0"/>
              <w:rPr>
                <w:sz w:val="1"/>
                <w:szCs w:val="1"/>
                <w:color w:val="auto"/>
              </w:rPr>
            </w:pPr>
          </w:p>
        </w:tc>
      </w:tr>
      <w:tr>
        <w:trPr>
          <w:trHeight w:val="210"/>
        </w:trPr>
        <w:tc>
          <w:tcPr>
            <w:tcW w:w="7240" w:type="dxa"/>
            <w:vAlign w:val="bottom"/>
          </w:tcPr>
          <w:p>
            <w:pPr>
              <w:ind w:left="20"/>
              <w:spacing w:after="0"/>
              <w:rPr>
                <w:sz w:val="20"/>
                <w:szCs w:val="20"/>
                <w:color w:val="auto"/>
              </w:rPr>
            </w:pPr>
            <w:r>
              <w:rPr>
                <w:rFonts w:ascii="Arial" w:cs="Arial" w:eastAsia="Arial" w:hAnsi="Arial"/>
                <w:sz w:val="17"/>
                <w:szCs w:val="17"/>
                <w:color w:val="auto"/>
              </w:rPr>
              <w:t>Net proceeds from sale of available-for-sale securities and other investments (note 7)</w:t>
            </w:r>
          </w:p>
        </w:tc>
        <w:tc>
          <w:tcPr>
            <w:tcW w:w="14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299</w:t>
            </w:r>
          </w:p>
        </w:tc>
        <w:tc>
          <w:tcPr>
            <w:tcW w:w="14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37,668</w:t>
            </w:r>
          </w:p>
        </w:tc>
        <w:tc>
          <w:tcPr>
            <w:tcW w:w="0" w:type="dxa"/>
            <w:vAlign w:val="bottom"/>
          </w:tcPr>
          <w:p>
            <w:pPr>
              <w:spacing w:after="0"/>
              <w:rPr>
                <w:sz w:val="1"/>
                <w:szCs w:val="1"/>
                <w:color w:val="auto"/>
              </w:rPr>
            </w:pPr>
          </w:p>
        </w:tc>
      </w:tr>
      <w:tr>
        <w:trPr>
          <w:trHeight w:val="210"/>
        </w:trPr>
        <w:tc>
          <w:tcPr>
            <w:tcW w:w="7240" w:type="dxa"/>
            <w:vAlign w:val="bottom"/>
            <w:shd w:val="clear" w:color="auto" w:fill="CCEEFF"/>
          </w:tcPr>
          <w:p>
            <w:pPr>
              <w:ind w:left="20"/>
              <w:spacing w:after="0"/>
              <w:rPr>
                <w:sz w:val="20"/>
                <w:szCs w:val="20"/>
                <w:color w:val="auto"/>
              </w:rPr>
            </w:pPr>
            <w:r>
              <w:rPr>
                <w:rFonts w:ascii="Arial" w:cs="Arial" w:eastAsia="Arial" w:hAnsi="Arial"/>
                <w:sz w:val="17"/>
                <w:szCs w:val="17"/>
                <w:color w:val="auto"/>
              </w:rPr>
              <w:t>Purchase of available-for-sale securities and other investments (note 7)</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b w:val="1"/>
                <w:bCs w:val="1"/>
                <w:color w:val="auto"/>
              </w:rPr>
              <w:t>(9,445)</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(5,275)</w:t>
            </w:r>
          </w:p>
        </w:tc>
        <w:tc>
          <w:tcPr>
            <w:tcW w:w="0" w:type="dxa"/>
            <w:vAlign w:val="bottom"/>
          </w:tcPr>
          <w:p>
            <w:pPr>
              <w:spacing w:after="0"/>
              <w:rPr>
                <w:sz w:val="1"/>
                <w:szCs w:val="1"/>
                <w:color w:val="auto"/>
              </w:rPr>
            </w:pPr>
          </w:p>
        </w:tc>
      </w:tr>
      <w:tr>
        <w:trPr>
          <w:trHeight w:val="228"/>
        </w:trPr>
        <w:tc>
          <w:tcPr>
            <w:tcW w:w="7240" w:type="dxa"/>
            <w:vAlign w:val="bottom"/>
          </w:tcPr>
          <w:p>
            <w:pPr>
              <w:ind w:left="20"/>
              <w:spacing w:after="0"/>
              <w:rPr>
                <w:sz w:val="20"/>
                <w:szCs w:val="20"/>
                <w:color w:val="auto"/>
              </w:rPr>
            </w:pPr>
            <w:r>
              <w:rPr>
                <w:rFonts w:ascii="Arial" w:cs="Arial" w:eastAsia="Arial" w:hAnsi="Arial"/>
                <w:sz w:val="17"/>
                <w:szCs w:val="17"/>
                <w:color w:val="auto"/>
              </w:rPr>
              <w:t>Decrease in restricted cash</w:t>
            </w:r>
          </w:p>
        </w:tc>
        <w:tc>
          <w:tcPr>
            <w:tcW w:w="140" w:type="dxa"/>
            <w:vAlign w:val="bottom"/>
          </w:tcPr>
          <w:p>
            <w:pPr>
              <w:spacing w:after="0"/>
              <w:rPr>
                <w:sz w:val="19"/>
                <w:szCs w:val="19"/>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10</w:t>
            </w:r>
          </w:p>
        </w:tc>
        <w:tc>
          <w:tcPr>
            <w:tcW w:w="140" w:type="dxa"/>
            <w:vAlign w:val="bottom"/>
          </w:tcPr>
          <w:p>
            <w:pPr>
              <w:spacing w:after="0"/>
              <w:rPr>
                <w:sz w:val="19"/>
                <w:szCs w:val="19"/>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3,703</w:t>
            </w:r>
          </w:p>
        </w:tc>
        <w:tc>
          <w:tcPr>
            <w:tcW w:w="0" w:type="dxa"/>
            <w:vAlign w:val="bottom"/>
          </w:tcPr>
          <w:p>
            <w:pPr>
              <w:spacing w:after="0"/>
              <w:rPr>
                <w:sz w:val="1"/>
                <w:szCs w:val="1"/>
                <w:color w:val="auto"/>
              </w:rPr>
            </w:pPr>
          </w:p>
        </w:tc>
      </w:tr>
      <w:tr>
        <w:trPr>
          <w:trHeight w:val="21"/>
        </w:trPr>
        <w:tc>
          <w:tcPr>
            <w:tcW w:w="72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24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 used in investing activities</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b w:val="1"/>
                <w:bCs w:val="1"/>
                <w:color w:val="auto"/>
                <w:w w:val="96"/>
              </w:rPr>
              <w:t>(107,595)</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(53,892)</w:t>
            </w:r>
          </w:p>
        </w:tc>
        <w:tc>
          <w:tcPr>
            <w:tcW w:w="0" w:type="dxa"/>
            <w:vAlign w:val="bottom"/>
          </w:tcPr>
          <w:p>
            <w:pPr>
              <w:spacing w:after="0"/>
              <w:rPr>
                <w:sz w:val="1"/>
                <w:szCs w:val="1"/>
                <w:color w:val="auto"/>
              </w:rPr>
            </w:pPr>
          </w:p>
        </w:tc>
      </w:tr>
      <w:tr>
        <w:trPr>
          <w:trHeight w:val="26"/>
        </w:trPr>
        <w:tc>
          <w:tcPr>
            <w:tcW w:w="7240" w:type="dxa"/>
            <w:vAlign w:val="bottom"/>
            <w:vMerge w:val="restart"/>
          </w:tcPr>
          <w:p>
            <w:pPr>
              <w:ind w:left="20"/>
              <w:spacing w:after="0"/>
              <w:rPr>
                <w:sz w:val="20"/>
                <w:szCs w:val="20"/>
                <w:color w:val="auto"/>
              </w:rPr>
            </w:pPr>
            <w:r>
              <w:rPr>
                <w:rFonts w:ascii="Arial" w:cs="Arial" w:eastAsia="Arial" w:hAnsi="Arial"/>
                <w:sz w:val="17"/>
                <w:szCs w:val="17"/>
                <w:b w:val="1"/>
                <w:bCs w:val="1"/>
                <w:color w:val="auto"/>
              </w:rPr>
              <w:t>FINANCING ACTIVITIES</w:t>
            </w: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98"/>
        </w:trPr>
        <w:tc>
          <w:tcPr>
            <w:tcW w:w="7240" w:type="dxa"/>
            <w:vAlign w:val="bottom"/>
            <w:vMerge w:val="continue"/>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7240" w:type="dxa"/>
            <w:vAlign w:val="bottom"/>
            <w:shd w:val="clear" w:color="auto" w:fill="CCEEFF"/>
          </w:tcPr>
          <w:p>
            <w:pPr>
              <w:ind w:left="20"/>
              <w:spacing w:after="0"/>
              <w:rPr>
                <w:sz w:val="20"/>
                <w:szCs w:val="20"/>
                <w:color w:val="auto"/>
              </w:rPr>
            </w:pPr>
            <w:r>
              <w:rPr>
                <w:rFonts w:ascii="Arial" w:cs="Arial" w:eastAsia="Arial" w:hAnsi="Arial"/>
                <w:sz w:val="17"/>
                <w:szCs w:val="17"/>
                <w:color w:val="auto"/>
              </w:rPr>
              <w:t>Dividends paid</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b w:val="1"/>
                <w:bCs w:val="1"/>
                <w:color w:val="auto"/>
              </w:rPr>
              <w:t>(14,846)</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(14,775)</w:t>
            </w:r>
          </w:p>
        </w:tc>
        <w:tc>
          <w:tcPr>
            <w:tcW w:w="0" w:type="dxa"/>
            <w:vAlign w:val="bottom"/>
          </w:tcPr>
          <w:p>
            <w:pPr>
              <w:spacing w:after="0"/>
              <w:rPr>
                <w:sz w:val="1"/>
                <w:szCs w:val="1"/>
                <w:color w:val="auto"/>
              </w:rPr>
            </w:pPr>
          </w:p>
        </w:tc>
      </w:tr>
      <w:tr>
        <w:trPr>
          <w:trHeight w:val="210"/>
        </w:trPr>
        <w:tc>
          <w:tcPr>
            <w:tcW w:w="7240" w:type="dxa"/>
            <w:vAlign w:val="bottom"/>
          </w:tcPr>
          <w:p>
            <w:pPr>
              <w:ind w:left="20"/>
              <w:spacing w:after="0"/>
              <w:rPr>
                <w:sz w:val="20"/>
                <w:szCs w:val="20"/>
                <w:color w:val="auto"/>
              </w:rPr>
            </w:pPr>
            <w:r>
              <w:rPr>
                <w:rFonts w:ascii="Arial" w:cs="Arial" w:eastAsia="Arial" w:hAnsi="Arial"/>
                <w:sz w:val="17"/>
                <w:szCs w:val="17"/>
                <w:color w:val="auto"/>
              </w:rPr>
              <w:t>Repayment of finance lease obligations</w:t>
            </w:r>
          </w:p>
        </w:tc>
        <w:tc>
          <w:tcPr>
            <w:tcW w:w="14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7"/>
                <w:szCs w:val="17"/>
                <w:b w:val="1"/>
                <w:bCs w:val="1"/>
                <w:color w:val="auto"/>
              </w:rPr>
              <w:t>(2,514)</w:t>
            </w:r>
          </w:p>
        </w:tc>
        <w:tc>
          <w:tcPr>
            <w:tcW w:w="14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7"/>
                <w:szCs w:val="17"/>
                <w:color w:val="auto"/>
              </w:rPr>
              <w:t>(8,405)</w:t>
            </w:r>
          </w:p>
        </w:tc>
        <w:tc>
          <w:tcPr>
            <w:tcW w:w="0" w:type="dxa"/>
            <w:vAlign w:val="bottom"/>
          </w:tcPr>
          <w:p>
            <w:pPr>
              <w:spacing w:after="0"/>
              <w:rPr>
                <w:sz w:val="1"/>
                <w:szCs w:val="1"/>
                <w:color w:val="auto"/>
              </w:rPr>
            </w:pPr>
          </w:p>
        </w:tc>
      </w:tr>
      <w:tr>
        <w:trPr>
          <w:trHeight w:val="210"/>
        </w:trPr>
        <w:tc>
          <w:tcPr>
            <w:tcW w:w="7240" w:type="dxa"/>
            <w:vAlign w:val="bottom"/>
            <w:shd w:val="clear" w:color="auto" w:fill="CCEEFF"/>
          </w:tcPr>
          <w:p>
            <w:pPr>
              <w:ind w:left="20"/>
              <w:spacing w:after="0"/>
              <w:rPr>
                <w:sz w:val="20"/>
                <w:szCs w:val="20"/>
                <w:color w:val="auto"/>
              </w:rPr>
            </w:pPr>
            <w:r>
              <w:rPr>
                <w:rFonts w:ascii="Arial" w:cs="Arial" w:eastAsia="Arial" w:hAnsi="Arial"/>
                <w:sz w:val="17"/>
                <w:szCs w:val="17"/>
                <w:color w:val="auto"/>
              </w:rPr>
              <w:t>Proceeds from long-term debt (note 9)</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75,000</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0"/>
        </w:trPr>
        <w:tc>
          <w:tcPr>
            <w:tcW w:w="7240" w:type="dxa"/>
            <w:vAlign w:val="bottom"/>
          </w:tcPr>
          <w:p>
            <w:pPr>
              <w:ind w:left="20"/>
              <w:spacing w:after="0"/>
              <w:rPr>
                <w:sz w:val="20"/>
                <w:szCs w:val="20"/>
                <w:color w:val="auto"/>
              </w:rPr>
            </w:pPr>
            <w:r>
              <w:rPr>
                <w:rFonts w:ascii="Arial" w:cs="Arial" w:eastAsia="Arial" w:hAnsi="Arial"/>
                <w:sz w:val="17"/>
                <w:szCs w:val="17"/>
                <w:color w:val="auto"/>
              </w:rPr>
              <w:t>Repayment of long-term debt (note 9)</w:t>
            </w:r>
          </w:p>
        </w:tc>
        <w:tc>
          <w:tcPr>
            <w:tcW w:w="14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7"/>
                <w:szCs w:val="17"/>
                <w:b w:val="1"/>
                <w:bCs w:val="1"/>
                <w:color w:val="auto"/>
                <w:w w:val="96"/>
              </w:rPr>
              <w:t>(130,000)</w:t>
            </w:r>
          </w:p>
        </w:tc>
        <w:tc>
          <w:tcPr>
            <w:tcW w:w="14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7"/>
                <w:szCs w:val="17"/>
                <w:color w:val="auto"/>
                <w:w w:val="96"/>
              </w:rPr>
              <w:t>(100,000)</w:t>
            </w:r>
          </w:p>
        </w:tc>
        <w:tc>
          <w:tcPr>
            <w:tcW w:w="0" w:type="dxa"/>
            <w:vAlign w:val="bottom"/>
          </w:tcPr>
          <w:p>
            <w:pPr>
              <w:spacing w:after="0"/>
              <w:rPr>
                <w:sz w:val="1"/>
                <w:szCs w:val="1"/>
                <w:color w:val="auto"/>
              </w:rPr>
            </w:pPr>
          </w:p>
        </w:tc>
      </w:tr>
      <w:tr>
        <w:trPr>
          <w:trHeight w:val="210"/>
        </w:trPr>
        <w:tc>
          <w:tcPr>
            <w:tcW w:w="7240" w:type="dxa"/>
            <w:vAlign w:val="bottom"/>
            <w:shd w:val="clear" w:color="auto" w:fill="CCEEFF"/>
          </w:tcPr>
          <w:p>
            <w:pPr>
              <w:ind w:left="20"/>
              <w:spacing w:after="0"/>
              <w:rPr>
                <w:sz w:val="20"/>
                <w:szCs w:val="20"/>
                <w:color w:val="auto"/>
              </w:rPr>
            </w:pPr>
            <w:r>
              <w:rPr>
                <w:rFonts w:ascii="Arial" w:cs="Arial" w:eastAsia="Arial" w:hAnsi="Arial"/>
                <w:sz w:val="17"/>
                <w:szCs w:val="17"/>
                <w:color w:val="auto"/>
              </w:rPr>
              <w:t>Repurchase of common shares for stock-based compensation plans (note 11)</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b w:val="1"/>
                <w:bCs w:val="1"/>
                <w:color w:val="auto"/>
              </w:rPr>
              <w:t>(14,895)</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(10,642)</w:t>
            </w:r>
          </w:p>
        </w:tc>
        <w:tc>
          <w:tcPr>
            <w:tcW w:w="0" w:type="dxa"/>
            <w:vAlign w:val="bottom"/>
          </w:tcPr>
          <w:p>
            <w:pPr>
              <w:spacing w:after="0"/>
              <w:rPr>
                <w:sz w:val="1"/>
                <w:szCs w:val="1"/>
                <w:color w:val="auto"/>
              </w:rPr>
            </w:pPr>
          </w:p>
        </w:tc>
      </w:tr>
      <w:tr>
        <w:trPr>
          <w:trHeight w:val="210"/>
        </w:trPr>
        <w:tc>
          <w:tcPr>
            <w:tcW w:w="7240" w:type="dxa"/>
            <w:vAlign w:val="bottom"/>
          </w:tcPr>
          <w:p>
            <w:pPr>
              <w:ind w:left="20"/>
              <w:spacing w:after="0"/>
              <w:rPr>
                <w:sz w:val="20"/>
                <w:szCs w:val="20"/>
                <w:color w:val="auto"/>
              </w:rPr>
            </w:pPr>
            <w:r>
              <w:rPr>
                <w:rFonts w:ascii="Arial" w:cs="Arial" w:eastAsia="Arial" w:hAnsi="Arial"/>
                <w:sz w:val="17"/>
                <w:szCs w:val="17"/>
                <w:color w:val="auto"/>
              </w:rPr>
              <w:t>Proceeds on exercise of stock options (note 11)</w:t>
            </w:r>
          </w:p>
        </w:tc>
        <w:tc>
          <w:tcPr>
            <w:tcW w:w="14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64,424</w:t>
            </w:r>
          </w:p>
        </w:tc>
        <w:tc>
          <w:tcPr>
            <w:tcW w:w="14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8,223</w:t>
            </w:r>
          </w:p>
        </w:tc>
        <w:tc>
          <w:tcPr>
            <w:tcW w:w="0" w:type="dxa"/>
            <w:vAlign w:val="bottom"/>
          </w:tcPr>
          <w:p>
            <w:pPr>
              <w:spacing w:after="0"/>
              <w:rPr>
                <w:sz w:val="1"/>
                <w:szCs w:val="1"/>
                <w:color w:val="auto"/>
              </w:rPr>
            </w:pPr>
          </w:p>
        </w:tc>
      </w:tr>
      <w:tr>
        <w:trPr>
          <w:trHeight w:val="210"/>
        </w:trPr>
        <w:tc>
          <w:tcPr>
            <w:tcW w:w="7240" w:type="dxa"/>
            <w:vAlign w:val="bottom"/>
            <w:shd w:val="clear" w:color="auto" w:fill="CCEEFF"/>
          </w:tcPr>
          <w:p>
            <w:pPr>
              <w:ind w:left="20"/>
              <w:spacing w:after="0"/>
              <w:rPr>
                <w:sz w:val="20"/>
                <w:szCs w:val="20"/>
                <w:color w:val="auto"/>
              </w:rPr>
            </w:pPr>
            <w:r>
              <w:rPr>
                <w:rFonts w:ascii="Arial" w:cs="Arial" w:eastAsia="Arial" w:hAnsi="Arial"/>
                <w:sz w:val="17"/>
                <w:szCs w:val="17"/>
                <w:color w:val="auto"/>
              </w:rPr>
              <w:t>Common shares issued (note 10)</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21,243</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2,417</w:t>
            </w:r>
          </w:p>
        </w:tc>
        <w:tc>
          <w:tcPr>
            <w:tcW w:w="0" w:type="dxa"/>
            <w:vAlign w:val="bottom"/>
          </w:tcPr>
          <w:p>
            <w:pPr>
              <w:spacing w:after="0"/>
              <w:rPr>
                <w:sz w:val="1"/>
                <w:szCs w:val="1"/>
                <w:color w:val="auto"/>
              </w:rPr>
            </w:pPr>
          </w:p>
        </w:tc>
      </w:tr>
      <w:tr>
        <w:trPr>
          <w:trHeight w:val="26"/>
        </w:trPr>
        <w:tc>
          <w:tcPr>
            <w:tcW w:w="7240" w:type="dxa"/>
            <w:vAlign w:val="bottom"/>
            <w:vMerge w:val="restart"/>
          </w:tcPr>
          <w:p>
            <w:pPr>
              <w:ind w:left="20"/>
              <w:spacing w:after="0"/>
              <w:rPr>
                <w:sz w:val="20"/>
                <w:szCs w:val="20"/>
                <w:color w:val="auto"/>
              </w:rPr>
            </w:pPr>
            <w:r>
              <w:rPr>
                <w:rFonts w:ascii="Arial" w:cs="Arial" w:eastAsia="Arial" w:hAnsi="Arial"/>
                <w:sz w:val="17"/>
                <w:szCs w:val="17"/>
                <w:color w:val="auto"/>
              </w:rPr>
              <w:t>Cash used in financing activities</w:t>
            </w:r>
          </w:p>
        </w:tc>
        <w:tc>
          <w:tcPr>
            <w:tcW w:w="14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7240" w:type="dxa"/>
            <w:vAlign w:val="bottom"/>
            <w:vMerge w:val="continue"/>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(1,588)</w:t>
            </w:r>
          </w:p>
        </w:tc>
        <w:tc>
          <w:tcPr>
            <w:tcW w:w="16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7"/>
              </w:rPr>
              <w:t>(123,182)</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724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Effect of exchange rate changes on cash and cash equivalents</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2,075</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(5,912)</w:t>
            </w:r>
          </w:p>
        </w:tc>
        <w:tc>
          <w:tcPr>
            <w:tcW w:w="0" w:type="dxa"/>
            <w:vAlign w:val="bottom"/>
          </w:tcPr>
          <w:p>
            <w:pPr>
              <w:spacing w:after="0"/>
              <w:rPr>
                <w:sz w:val="1"/>
                <w:szCs w:val="1"/>
                <w:color w:val="auto"/>
              </w:rPr>
            </w:pPr>
          </w:p>
        </w:tc>
      </w:tr>
      <w:tr>
        <w:trPr>
          <w:trHeight w:val="26"/>
        </w:trPr>
        <w:tc>
          <w:tcPr>
            <w:tcW w:w="7240" w:type="dxa"/>
            <w:vAlign w:val="bottom"/>
            <w:vMerge w:val="restart"/>
          </w:tcPr>
          <w:p>
            <w:pPr>
              <w:ind w:left="20"/>
              <w:spacing w:after="0"/>
              <w:rPr>
                <w:sz w:val="20"/>
                <w:szCs w:val="20"/>
                <w:color w:val="auto"/>
              </w:rPr>
            </w:pPr>
            <w:r>
              <w:rPr>
                <w:rFonts w:ascii="Arial" w:cs="Arial" w:eastAsia="Arial" w:hAnsi="Arial"/>
                <w:sz w:val="17"/>
                <w:szCs w:val="17"/>
                <w:b w:val="1"/>
                <w:bCs w:val="1"/>
                <w:color w:val="auto"/>
              </w:rPr>
              <w:t>Net increase (decrease) in cash and cash equivalents during the period</w:t>
            </w:r>
          </w:p>
        </w:tc>
        <w:tc>
          <w:tcPr>
            <w:tcW w:w="14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7240" w:type="dxa"/>
            <w:vAlign w:val="bottom"/>
            <w:vMerge w:val="continue"/>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7"/>
                <w:szCs w:val="17"/>
                <w:b w:val="1"/>
                <w:bCs w:val="1"/>
                <w:color w:val="auto"/>
              </w:rPr>
              <w:t>38,596</w:t>
            </w:r>
          </w:p>
        </w:tc>
        <w:tc>
          <w:tcPr>
            <w:tcW w:w="16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(39,531)</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24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Cash and cash equivalents, beginning of period</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124,150</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177,537</w:t>
            </w:r>
          </w:p>
        </w:tc>
        <w:tc>
          <w:tcPr>
            <w:tcW w:w="0" w:type="dxa"/>
            <w:vAlign w:val="bottom"/>
          </w:tcPr>
          <w:p>
            <w:pPr>
              <w:spacing w:after="0"/>
              <w:rPr>
                <w:sz w:val="1"/>
                <w:szCs w:val="1"/>
                <w:color w:val="auto"/>
              </w:rPr>
            </w:pPr>
          </w:p>
        </w:tc>
      </w:tr>
      <w:tr>
        <w:trPr>
          <w:trHeight w:val="26"/>
        </w:trPr>
        <w:tc>
          <w:tcPr>
            <w:tcW w:w="7240" w:type="dxa"/>
            <w:vAlign w:val="bottom"/>
            <w:vMerge w:val="restart"/>
          </w:tcPr>
          <w:p>
            <w:pPr>
              <w:ind w:left="20"/>
              <w:spacing w:after="0"/>
              <w:rPr>
                <w:sz w:val="20"/>
                <w:szCs w:val="20"/>
                <w:color w:val="auto"/>
              </w:rPr>
            </w:pPr>
            <w:r>
              <w:rPr>
                <w:rFonts w:ascii="Arial" w:cs="Arial" w:eastAsia="Arial" w:hAnsi="Arial"/>
                <w:sz w:val="17"/>
                <w:szCs w:val="17"/>
                <w:b w:val="1"/>
                <w:bCs w:val="1"/>
                <w:color w:val="auto"/>
              </w:rPr>
              <w:t>Cash and cash equivalents, end of period</w:t>
            </w:r>
          </w:p>
        </w:tc>
        <w:tc>
          <w:tcPr>
            <w:tcW w:w="14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7240" w:type="dxa"/>
            <w:vAlign w:val="bottom"/>
            <w:vMerge w:val="continue"/>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w w:val="84"/>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162,746</w:t>
            </w:r>
          </w:p>
        </w:tc>
        <w:tc>
          <w:tcPr>
            <w:tcW w:w="16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138,006</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3"/>
        </w:trPr>
        <w:tc>
          <w:tcPr>
            <w:tcW w:w="724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SUPPLEMENTAL CASH FLOW INFORMATION</w:t>
            </w:r>
          </w:p>
        </w:tc>
        <w:tc>
          <w:tcPr>
            <w:tcW w:w="14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7240" w:type="dxa"/>
            <w:vAlign w:val="bottom"/>
          </w:tcPr>
          <w:p>
            <w:pPr>
              <w:ind w:left="20"/>
              <w:spacing w:after="0"/>
              <w:rPr>
                <w:sz w:val="20"/>
                <w:szCs w:val="20"/>
                <w:color w:val="auto"/>
              </w:rPr>
            </w:pPr>
            <w:r>
              <w:rPr>
                <w:rFonts w:ascii="Arial" w:cs="Arial" w:eastAsia="Arial" w:hAnsi="Arial"/>
                <w:sz w:val="17"/>
                <w:szCs w:val="17"/>
                <w:color w:val="auto"/>
              </w:rPr>
              <w:t>Interest paid</w:t>
            </w:r>
          </w:p>
        </w:tc>
        <w:tc>
          <w:tcPr>
            <w:tcW w:w="140" w:type="dxa"/>
            <w:vAlign w:val="bottom"/>
          </w:tcPr>
          <w:p>
            <w:pPr>
              <w:jc w:val="right"/>
              <w:spacing w:after="0"/>
              <w:rPr>
                <w:sz w:val="20"/>
                <w:szCs w:val="20"/>
                <w:color w:val="auto"/>
              </w:rPr>
            </w:pPr>
            <w:r>
              <w:rPr>
                <w:rFonts w:ascii="Arial" w:cs="Arial" w:eastAsia="Arial" w:hAnsi="Arial"/>
                <w:sz w:val="17"/>
                <w:szCs w:val="17"/>
                <w:b w:val="1"/>
                <w:bCs w:val="1"/>
                <w:color w:val="auto"/>
                <w:w w:val="84"/>
              </w:rPr>
              <w:t>$</w:t>
            </w:r>
          </w:p>
        </w:tc>
        <w:tc>
          <w:tcPr>
            <w:tcW w:w="80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8,880</w:t>
            </w:r>
          </w:p>
        </w:tc>
        <w:tc>
          <w:tcPr>
            <w:tcW w:w="14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00" w:type="dxa"/>
            <w:vAlign w:val="bottom"/>
            <w:gridSpan w:val="2"/>
          </w:tcPr>
          <w:p>
            <w:pPr>
              <w:jc w:val="right"/>
              <w:ind w:right="140"/>
              <w:spacing w:after="0"/>
              <w:rPr>
                <w:sz w:val="20"/>
                <w:szCs w:val="20"/>
                <w:color w:val="auto"/>
              </w:rPr>
            </w:pPr>
            <w:r>
              <w:rPr>
                <w:rFonts w:ascii="Arial" w:cs="Arial" w:eastAsia="Arial" w:hAnsi="Arial"/>
                <w:sz w:val="17"/>
                <w:szCs w:val="17"/>
                <w:color w:val="auto"/>
              </w:rPr>
              <w:t>11,081</w:t>
            </w:r>
          </w:p>
        </w:tc>
        <w:tc>
          <w:tcPr>
            <w:tcW w:w="0" w:type="dxa"/>
            <w:vAlign w:val="bottom"/>
          </w:tcPr>
          <w:p>
            <w:pPr>
              <w:spacing w:after="0"/>
              <w:rPr>
                <w:sz w:val="1"/>
                <w:szCs w:val="1"/>
                <w:color w:val="auto"/>
              </w:rPr>
            </w:pPr>
          </w:p>
        </w:tc>
      </w:tr>
      <w:tr>
        <w:trPr>
          <w:trHeight w:val="20"/>
        </w:trPr>
        <w:tc>
          <w:tcPr>
            <w:tcW w:w="72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24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Income and mining taxes paid</w:t>
            </w:r>
          </w:p>
        </w:tc>
        <w:tc>
          <w:tcPr>
            <w:tcW w:w="140" w:type="dxa"/>
            <w:vAlign w:val="bottom"/>
            <w:shd w:val="clear" w:color="auto" w:fill="CCEEFF"/>
          </w:tcPr>
          <w:p>
            <w:pPr>
              <w:jc w:val="right"/>
              <w:spacing w:after="0"/>
              <w:rPr>
                <w:sz w:val="20"/>
                <w:szCs w:val="20"/>
                <w:color w:val="auto"/>
              </w:rPr>
            </w:pPr>
            <w:r>
              <w:rPr>
                <w:rFonts w:ascii="Arial" w:cs="Arial" w:eastAsia="Arial" w:hAnsi="Arial"/>
                <w:sz w:val="17"/>
                <w:szCs w:val="17"/>
                <w:b w:val="1"/>
                <w:bCs w:val="1"/>
                <w:color w:val="auto"/>
                <w:w w:val="84"/>
              </w:rPr>
              <w:t>$</w:t>
            </w: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53,317</w:t>
            </w:r>
          </w:p>
        </w:tc>
        <w:tc>
          <w:tcPr>
            <w:tcW w:w="14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37,947</w:t>
            </w:r>
          </w:p>
        </w:tc>
        <w:tc>
          <w:tcPr>
            <w:tcW w:w="0" w:type="dxa"/>
            <w:vAlign w:val="bottom"/>
          </w:tcPr>
          <w:p>
            <w:pPr>
              <w:spacing w:after="0"/>
              <w:rPr>
                <w:sz w:val="1"/>
                <w:szCs w:val="1"/>
                <w:color w:val="auto"/>
              </w:rPr>
            </w:pPr>
          </w:p>
        </w:tc>
      </w:tr>
      <w:tr>
        <w:trPr>
          <w:trHeight w:val="26"/>
        </w:trPr>
        <w:tc>
          <w:tcPr>
            <w:tcW w:w="724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77" w:lineRule="exact"/>
        <w:rPr>
          <w:sz w:val="20"/>
          <w:szCs w:val="20"/>
          <w:color w:val="auto"/>
        </w:rPr>
      </w:pPr>
    </w:p>
    <w:p>
      <w:pPr>
        <w:jc w:val="center"/>
        <w:ind w:right="-19"/>
        <w:spacing w:after="0"/>
        <w:rPr>
          <w:sz w:val="20"/>
          <w:szCs w:val="20"/>
          <w:color w:val="auto"/>
        </w:rPr>
      </w:pPr>
      <w:r>
        <w:rPr>
          <w:rFonts w:ascii="Arial" w:cs="Arial" w:eastAsia="Arial" w:hAnsi="Arial"/>
          <w:sz w:val="17"/>
          <w:szCs w:val="17"/>
          <w:i w:val="1"/>
          <w:iCs w:val="1"/>
          <w:color w:val="auto"/>
        </w:rPr>
        <w:t>See accompanying notes</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120"/>
          </w:cols>
          <w:pgMar w:left="1380" w:top="337" w:right="1399" w:bottom="1440" w:gutter="0" w:footer="0" w:header="0"/>
        </w:sectPr>
      </w:pPr>
    </w:p>
    <w:bookmarkStart w:id="33" w:name="page34"/>
    <w:bookmarkEnd w:id="33"/>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CONDENSED INTERIM CONSOLIDATED FINANCIAL STATEMENTS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ind w:left="5280"/>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ind w:left="5120"/>
        <w:spacing w:after="0"/>
        <w:rPr>
          <w:sz w:val="20"/>
          <w:szCs w:val="20"/>
          <w:color w:val="auto"/>
        </w:rPr>
      </w:pPr>
      <w:r>
        <w:rPr>
          <w:rFonts w:ascii="Arial" w:cs="Arial" w:eastAsia="Arial" w:hAnsi="Arial"/>
          <w:sz w:val="17"/>
          <w:szCs w:val="17"/>
          <w:b w:val="1"/>
          <w:bCs w:val="1"/>
          <w:color w:val="auto"/>
        </w:rPr>
        <w:t>March 31, 2016</w:t>
      </w:r>
    </w:p>
    <w:p>
      <w:pPr>
        <w:spacing w:after="0" w:line="214" w:lineRule="exact"/>
        <w:rPr>
          <w:sz w:val="20"/>
          <w:szCs w:val="20"/>
          <w:color w:val="auto"/>
        </w:rPr>
      </w:pPr>
    </w:p>
    <w:p>
      <w:pPr>
        <w:ind w:left="260" w:hanging="255"/>
        <w:spacing w:after="0"/>
        <w:tabs>
          <w:tab w:leader="none" w:pos="260" w:val="left"/>
        </w:tabs>
        <w:numPr>
          <w:ilvl w:val="0"/>
          <w:numId w:val="8"/>
        </w:numPr>
        <w:rPr>
          <w:rFonts w:ascii="Arial" w:cs="Arial" w:eastAsia="Arial" w:hAnsi="Arial"/>
          <w:sz w:val="13"/>
          <w:szCs w:val="13"/>
          <w:b w:val="1"/>
          <w:bCs w:val="1"/>
          <w:color w:val="auto"/>
        </w:rPr>
      </w:pPr>
      <w:r>
        <w:rPr>
          <w:rFonts w:ascii="Arial" w:cs="Arial" w:eastAsia="Arial" w:hAnsi="Arial"/>
          <w:sz w:val="13"/>
          <w:szCs w:val="13"/>
          <w:b w:val="1"/>
          <w:bCs w:val="1"/>
          <w:color w:val="auto"/>
        </w:rPr>
        <w:t>CORPORATE INFORMATION</w:t>
      </w:r>
    </w:p>
    <w:p>
      <w:pPr>
        <w:spacing w:after="0" w:line="208"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Agnico Eagle Mines Limited ("Agnico Eagle" or the "Company") is principally engaged in the production and sale of gold, as well as related activities such as exploration and mine development. The Company's mining operations are located in Canada, Mexico and Finland and the Company has exploration activities in Canada, Europe, Latin America and the United States. Agnico Eagle is a public company incorporated under the laws of the Province of Ontario, Canada with its head and registered office located at 145 King Street East, Suite 400, Toronto, Ontario, M5C 2Y7. The Company is listed on the Toronto Stock Exchange and the New York Stock Exchange. Agnico Eagle sells its gold production into the world market.</w:t>
      </w:r>
    </w:p>
    <w:p>
      <w:pPr>
        <w:spacing w:after="0" w:line="191"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These condensed interim consolidated financial statements were authorized for issuance by the Board of Directors of the Company (the "Board") on April 29, 2016.</w:t>
      </w:r>
    </w:p>
    <w:p>
      <w:pPr>
        <w:spacing w:after="0" w:line="200" w:lineRule="exact"/>
        <w:rPr>
          <w:sz w:val="20"/>
          <w:szCs w:val="20"/>
          <w:color w:val="auto"/>
        </w:rPr>
      </w:pPr>
    </w:p>
    <w:p>
      <w:pPr>
        <w:ind w:left="260" w:hanging="255"/>
        <w:spacing w:after="0"/>
        <w:tabs>
          <w:tab w:leader="none" w:pos="260" w:val="left"/>
        </w:tabs>
        <w:numPr>
          <w:ilvl w:val="0"/>
          <w:numId w:val="9"/>
        </w:numPr>
        <w:rPr>
          <w:rFonts w:ascii="Arial" w:cs="Arial" w:eastAsia="Arial" w:hAnsi="Arial"/>
          <w:sz w:val="13"/>
          <w:szCs w:val="13"/>
          <w:b w:val="1"/>
          <w:bCs w:val="1"/>
          <w:color w:val="auto"/>
        </w:rPr>
      </w:pPr>
      <w:r>
        <w:rPr>
          <w:rFonts w:ascii="Arial" w:cs="Arial" w:eastAsia="Arial" w:hAnsi="Arial"/>
          <w:sz w:val="13"/>
          <w:szCs w:val="13"/>
          <w:b w:val="1"/>
          <w:bCs w:val="1"/>
          <w:color w:val="auto"/>
        </w:rPr>
        <w:t>BASIS OF PRESENTATION</w:t>
      </w:r>
    </w:p>
    <w:p>
      <w:pPr>
        <w:spacing w:after="0" w:line="195" w:lineRule="exact"/>
        <w:rPr>
          <w:rFonts w:ascii="Arial" w:cs="Arial" w:eastAsia="Arial" w:hAnsi="Arial"/>
          <w:sz w:val="13"/>
          <w:szCs w:val="13"/>
          <w:b w:val="1"/>
          <w:bCs w:val="1"/>
          <w:color w:val="auto"/>
        </w:rPr>
      </w:pPr>
    </w:p>
    <w:p>
      <w:pPr>
        <w:ind w:left="1060" w:hanging="531"/>
        <w:spacing w:after="0"/>
        <w:tabs>
          <w:tab w:leader="none" w:pos="1060" w:val="left"/>
        </w:tabs>
        <w:numPr>
          <w:ilvl w:val="1"/>
          <w:numId w:val="9"/>
        </w:numPr>
        <w:rPr>
          <w:rFonts w:ascii="Arial" w:cs="Arial" w:eastAsia="Arial" w:hAnsi="Arial"/>
          <w:sz w:val="13"/>
          <w:szCs w:val="13"/>
          <w:b w:val="1"/>
          <w:bCs w:val="1"/>
          <w:i w:val="1"/>
          <w:iCs w:val="1"/>
          <w:color w:val="auto"/>
        </w:rPr>
      </w:pPr>
      <w:r>
        <w:rPr>
          <w:rFonts w:ascii="Arial" w:cs="Arial" w:eastAsia="Arial" w:hAnsi="Arial"/>
          <w:sz w:val="13"/>
          <w:szCs w:val="13"/>
          <w:b w:val="1"/>
          <w:bCs w:val="1"/>
          <w:i w:val="1"/>
          <w:iCs w:val="1"/>
          <w:color w:val="auto"/>
        </w:rPr>
        <w:t>Statement of Compliance</w:t>
      </w:r>
    </w:p>
    <w:p>
      <w:pPr>
        <w:spacing w:after="0" w:line="204" w:lineRule="exact"/>
        <w:rPr>
          <w:rFonts w:ascii="Arial" w:cs="Arial" w:eastAsia="Arial" w:hAnsi="Arial"/>
          <w:sz w:val="13"/>
          <w:szCs w:val="13"/>
          <w:b w:val="1"/>
          <w:bCs w:val="1"/>
          <w:i w:val="1"/>
          <w:iCs w:val="1"/>
          <w:color w:val="auto"/>
        </w:rPr>
      </w:pPr>
    </w:p>
    <w:p>
      <w:pPr>
        <w:jc w:val="both"/>
        <w:ind w:left="1060"/>
        <w:spacing w:after="0" w:line="243" w:lineRule="auto"/>
        <w:rPr>
          <w:rFonts w:ascii="Arial" w:cs="Arial" w:eastAsia="Arial" w:hAnsi="Arial"/>
          <w:sz w:val="13"/>
          <w:szCs w:val="13"/>
          <w:b w:val="1"/>
          <w:bCs w:val="1"/>
          <w:i w:val="1"/>
          <w:iCs w:val="1"/>
          <w:color w:val="auto"/>
        </w:rPr>
      </w:pPr>
      <w:r>
        <w:rPr>
          <w:rFonts w:ascii="Arial" w:cs="Arial" w:eastAsia="Arial" w:hAnsi="Arial"/>
          <w:sz w:val="13"/>
          <w:szCs w:val="13"/>
          <w:color w:val="auto"/>
        </w:rPr>
        <w:t xml:space="preserve">The accompanying condensed interim consolidated financial statements of Agnico Eagle have been prepared in accordance with International Accounting Standard 34 </w:t>
      </w:r>
      <w:r>
        <w:rPr>
          <w:rFonts w:ascii="Arial" w:cs="Arial" w:eastAsia="Arial" w:hAnsi="Arial"/>
          <w:sz w:val="13"/>
          <w:szCs w:val="13"/>
          <w:i w:val="1"/>
          <w:iCs w:val="1"/>
          <w:color w:val="auto"/>
        </w:rPr>
        <w:t>Interim Financial Reporting</w:t>
      </w:r>
      <w:r>
        <w:rPr>
          <w:rFonts w:ascii="Arial" w:cs="Arial" w:eastAsia="Arial" w:hAnsi="Arial"/>
          <w:sz w:val="13"/>
          <w:szCs w:val="13"/>
          <w:color w:val="auto"/>
        </w:rPr>
        <w:t xml:space="preserve"> ("IAS 34") as issued by the International Accounting Standards Board ("IASB") in United States ("US") dollars. These condensed interim consolidated financial statements do not include all of the disclosures required by International Financial Reporting Standards ("IFRS") for annual audited consolidated financial statements.</w:t>
      </w:r>
    </w:p>
    <w:p>
      <w:pPr>
        <w:spacing w:after="0" w:line="188" w:lineRule="exact"/>
        <w:rPr>
          <w:rFonts w:ascii="Arial" w:cs="Arial" w:eastAsia="Arial" w:hAnsi="Arial"/>
          <w:sz w:val="13"/>
          <w:szCs w:val="13"/>
          <w:b w:val="1"/>
          <w:bCs w:val="1"/>
          <w:i w:val="1"/>
          <w:iCs w:val="1"/>
          <w:color w:val="auto"/>
        </w:rPr>
      </w:pPr>
    </w:p>
    <w:p>
      <w:pPr>
        <w:ind w:left="1060"/>
        <w:spacing w:after="0" w:line="256" w:lineRule="auto"/>
        <w:rPr>
          <w:rFonts w:ascii="Arial" w:cs="Arial" w:eastAsia="Arial" w:hAnsi="Arial"/>
          <w:sz w:val="13"/>
          <w:szCs w:val="13"/>
          <w:b w:val="1"/>
          <w:bCs w:val="1"/>
          <w:i w:val="1"/>
          <w:iCs w:val="1"/>
          <w:color w:val="auto"/>
        </w:rPr>
      </w:pPr>
      <w:r>
        <w:rPr>
          <w:rFonts w:ascii="Arial" w:cs="Arial" w:eastAsia="Arial" w:hAnsi="Arial"/>
          <w:sz w:val="13"/>
          <w:szCs w:val="13"/>
          <w:color w:val="auto"/>
        </w:rPr>
        <w:t>These condensed interim consolidated financial statements were prepared on a going concern basis under the historical cost method except for certain financial assets and liabilities which are measured at fair value.</w:t>
      </w:r>
    </w:p>
    <w:p>
      <w:pPr>
        <w:spacing w:after="0" w:line="179" w:lineRule="exact"/>
        <w:rPr>
          <w:rFonts w:ascii="Arial" w:cs="Arial" w:eastAsia="Arial" w:hAnsi="Arial"/>
          <w:sz w:val="13"/>
          <w:szCs w:val="13"/>
          <w:b w:val="1"/>
          <w:bCs w:val="1"/>
          <w:i w:val="1"/>
          <w:iCs w:val="1"/>
          <w:color w:val="auto"/>
        </w:rPr>
      </w:pPr>
    </w:p>
    <w:p>
      <w:pPr>
        <w:ind w:left="1060"/>
        <w:spacing w:after="0" w:line="297" w:lineRule="auto"/>
        <w:rPr>
          <w:rFonts w:ascii="Arial" w:cs="Arial" w:eastAsia="Arial" w:hAnsi="Arial"/>
          <w:sz w:val="13"/>
          <w:szCs w:val="13"/>
          <w:b w:val="1"/>
          <w:bCs w:val="1"/>
          <w:i w:val="1"/>
          <w:iCs w:val="1"/>
          <w:color w:val="auto"/>
        </w:rPr>
      </w:pPr>
      <w:r>
        <w:rPr>
          <w:rFonts w:ascii="Arial" w:cs="Arial" w:eastAsia="Arial" w:hAnsi="Arial"/>
          <w:sz w:val="12"/>
          <w:szCs w:val="12"/>
          <w:color w:val="auto"/>
        </w:rPr>
        <w:t>These condensed interim consolidated financial statements should be read in conjunction with the Company's 2015 annual audited consolidated financial statements, including the accounting policies and notes thereto, included in the Annual Report and Annual Information Form/Form 40-F for the year ended December 31, 2015, which were prepared in accordance with IFRS.</w:t>
      </w:r>
    </w:p>
    <w:p>
      <w:pPr>
        <w:spacing w:after="0" w:line="156" w:lineRule="exact"/>
        <w:rPr>
          <w:rFonts w:ascii="Arial" w:cs="Arial" w:eastAsia="Arial" w:hAnsi="Arial"/>
          <w:sz w:val="13"/>
          <w:szCs w:val="13"/>
          <w:b w:val="1"/>
          <w:bCs w:val="1"/>
          <w:i w:val="1"/>
          <w:iCs w:val="1"/>
          <w:color w:val="auto"/>
        </w:rPr>
      </w:pPr>
    </w:p>
    <w:p>
      <w:pPr>
        <w:ind w:left="1060"/>
        <w:spacing w:after="0" w:line="297" w:lineRule="auto"/>
        <w:rPr>
          <w:rFonts w:ascii="Arial" w:cs="Arial" w:eastAsia="Arial" w:hAnsi="Arial"/>
          <w:sz w:val="13"/>
          <w:szCs w:val="13"/>
          <w:b w:val="1"/>
          <w:bCs w:val="1"/>
          <w:i w:val="1"/>
          <w:iCs w:val="1"/>
          <w:color w:val="auto"/>
        </w:rPr>
      </w:pPr>
      <w:r>
        <w:rPr>
          <w:rFonts w:ascii="Arial" w:cs="Arial" w:eastAsia="Arial" w:hAnsi="Arial"/>
          <w:sz w:val="12"/>
          <w:szCs w:val="12"/>
          <w:color w:val="auto"/>
        </w:rPr>
        <w:t>In the opinion of management, these condensed interim consolidated financial statements reflect all adjustments, which consist of normal and recurring adjustments necessary to present fairly the financial position as at March 31, 2016 and December 31, 2015 and the results of operations and cash flows for the three months ended March 31, 2016 and March 31, 2015.</w:t>
      </w:r>
    </w:p>
    <w:p>
      <w:pPr>
        <w:spacing w:after="0" w:line="156" w:lineRule="exact"/>
        <w:rPr>
          <w:rFonts w:ascii="Arial" w:cs="Arial" w:eastAsia="Arial" w:hAnsi="Arial"/>
          <w:sz w:val="13"/>
          <w:szCs w:val="13"/>
          <w:b w:val="1"/>
          <w:bCs w:val="1"/>
          <w:i w:val="1"/>
          <w:iCs w:val="1"/>
          <w:color w:val="auto"/>
        </w:rPr>
      </w:pPr>
    </w:p>
    <w:p>
      <w:pPr>
        <w:ind w:left="1060"/>
        <w:spacing w:after="0"/>
        <w:rPr>
          <w:rFonts w:ascii="Arial" w:cs="Arial" w:eastAsia="Arial" w:hAnsi="Arial"/>
          <w:sz w:val="13"/>
          <w:szCs w:val="13"/>
          <w:b w:val="1"/>
          <w:bCs w:val="1"/>
          <w:i w:val="1"/>
          <w:iCs w:val="1"/>
          <w:color w:val="auto"/>
        </w:rPr>
      </w:pPr>
      <w:r>
        <w:rPr>
          <w:rFonts w:ascii="Arial" w:cs="Arial" w:eastAsia="Arial" w:hAnsi="Arial"/>
          <w:sz w:val="13"/>
          <w:szCs w:val="13"/>
          <w:color w:val="auto"/>
        </w:rPr>
        <w:t>Operating results for the three months ended March 31, 2016 are not necessarily indicative of the results that may be expected for the full year ending December 31, 2016.</w:t>
      </w:r>
    </w:p>
    <w:p>
      <w:pPr>
        <w:spacing w:after="0" w:line="191" w:lineRule="exact"/>
        <w:rPr>
          <w:rFonts w:ascii="Arial" w:cs="Arial" w:eastAsia="Arial" w:hAnsi="Arial"/>
          <w:sz w:val="13"/>
          <w:szCs w:val="13"/>
          <w:b w:val="1"/>
          <w:bCs w:val="1"/>
          <w:i w:val="1"/>
          <w:iCs w:val="1"/>
          <w:color w:val="auto"/>
        </w:rPr>
      </w:pPr>
    </w:p>
    <w:p>
      <w:pPr>
        <w:ind w:left="1060" w:right="9220" w:hanging="531"/>
        <w:spacing w:after="0" w:line="671" w:lineRule="auto"/>
        <w:tabs>
          <w:tab w:leader="none" w:pos="1060" w:val="left"/>
        </w:tabs>
        <w:numPr>
          <w:ilvl w:val="1"/>
          <w:numId w:val="9"/>
        </w:numPr>
        <w:rPr>
          <w:rFonts w:ascii="Arial" w:cs="Arial" w:eastAsia="Arial" w:hAnsi="Arial"/>
          <w:sz w:val="11"/>
          <w:szCs w:val="11"/>
          <w:b w:val="1"/>
          <w:bCs w:val="1"/>
          <w:i w:val="1"/>
          <w:iCs w:val="1"/>
          <w:color w:val="auto"/>
        </w:rPr>
      </w:pPr>
      <w:r>
        <w:rPr>
          <w:rFonts w:ascii="Arial" w:cs="Arial" w:eastAsia="Arial" w:hAnsi="Arial"/>
          <w:sz w:val="11"/>
          <w:szCs w:val="11"/>
          <w:b w:val="1"/>
          <w:bCs w:val="1"/>
          <w:i w:val="1"/>
          <w:iCs w:val="1"/>
          <w:color w:val="auto"/>
        </w:rPr>
        <w:t xml:space="preserve">Basis of Presentation </w:t>
      </w:r>
      <w:r>
        <w:rPr>
          <w:rFonts w:ascii="Arial" w:cs="Arial" w:eastAsia="Arial" w:hAnsi="Arial"/>
          <w:sz w:val="11"/>
          <w:szCs w:val="11"/>
          <w:i w:val="1"/>
          <w:iCs w:val="1"/>
          <w:color w:val="auto"/>
        </w:rPr>
        <w:t>Subsidiaries</w:t>
      </w:r>
    </w:p>
    <w:p>
      <w:pPr>
        <w:jc w:val="both"/>
        <w:ind w:left="1060"/>
        <w:spacing w:after="0" w:line="266" w:lineRule="auto"/>
        <w:rPr>
          <w:rFonts w:ascii="Arial" w:cs="Arial" w:eastAsia="Arial" w:hAnsi="Arial"/>
          <w:sz w:val="11"/>
          <w:szCs w:val="11"/>
          <w:b w:val="1"/>
          <w:bCs w:val="1"/>
          <w:i w:val="1"/>
          <w:iCs w:val="1"/>
          <w:color w:val="auto"/>
        </w:rPr>
      </w:pPr>
      <w:r>
        <w:rPr>
          <w:rFonts w:ascii="Arial" w:cs="Arial" w:eastAsia="Arial" w:hAnsi="Arial"/>
          <w:sz w:val="12"/>
          <w:szCs w:val="12"/>
          <w:color w:val="auto"/>
        </w:rPr>
        <w:t>These condensed interim consolidated financial statements include the accounts of Agnico Eagle and its consolidated subsidiaries. All intercompany balances, transactions, income and expenses and gains or losses have been eliminated on consolidation. Subsidiaries are consolidated where Agnico Eagle has the ability to exercise control. Control of an investee exists when Agnico Eagle is exposed to variable returns from the Company's involvement with the investee and has the ability to affect those returns through its power over the investee. The Company reassesses whether or not it controls an investee if facts and circumstances indicate that there are changes to one or more of the elements of control.</w:t>
      </w:r>
    </w:p>
    <w:p>
      <w:pPr>
        <w:spacing w:after="0" w:line="174" w:lineRule="exact"/>
        <w:rPr>
          <w:rFonts w:ascii="Arial" w:cs="Arial" w:eastAsia="Arial" w:hAnsi="Arial"/>
          <w:sz w:val="11"/>
          <w:szCs w:val="11"/>
          <w:b w:val="1"/>
          <w:bCs w:val="1"/>
          <w:i w:val="1"/>
          <w:iCs w:val="1"/>
          <w:color w:val="auto"/>
        </w:rPr>
      </w:pPr>
    </w:p>
    <w:p>
      <w:pPr>
        <w:ind w:left="1060"/>
        <w:spacing w:after="0"/>
        <w:rPr>
          <w:rFonts w:ascii="Arial" w:cs="Arial" w:eastAsia="Arial" w:hAnsi="Arial"/>
          <w:sz w:val="11"/>
          <w:szCs w:val="11"/>
          <w:b w:val="1"/>
          <w:bCs w:val="1"/>
          <w:i w:val="1"/>
          <w:iCs w:val="1"/>
          <w:color w:val="auto"/>
        </w:rPr>
      </w:pPr>
      <w:r>
        <w:rPr>
          <w:rFonts w:ascii="Arial" w:cs="Arial" w:eastAsia="Arial" w:hAnsi="Arial"/>
          <w:sz w:val="13"/>
          <w:szCs w:val="13"/>
          <w:i w:val="1"/>
          <w:iCs w:val="1"/>
          <w:color w:val="auto"/>
        </w:rPr>
        <w:t>Joint Arrangements</w:t>
      </w:r>
    </w:p>
    <w:p>
      <w:pPr>
        <w:spacing w:after="0" w:line="204" w:lineRule="exact"/>
        <w:rPr>
          <w:rFonts w:ascii="Arial" w:cs="Arial" w:eastAsia="Arial" w:hAnsi="Arial"/>
          <w:sz w:val="11"/>
          <w:szCs w:val="11"/>
          <w:b w:val="1"/>
          <w:bCs w:val="1"/>
          <w:i w:val="1"/>
          <w:iCs w:val="1"/>
          <w:color w:val="auto"/>
        </w:rPr>
      </w:pPr>
    </w:p>
    <w:p>
      <w:pPr>
        <w:ind w:left="1060"/>
        <w:spacing w:after="0" w:line="297" w:lineRule="auto"/>
        <w:rPr>
          <w:rFonts w:ascii="Arial" w:cs="Arial" w:eastAsia="Arial" w:hAnsi="Arial"/>
          <w:sz w:val="11"/>
          <w:szCs w:val="11"/>
          <w:b w:val="1"/>
          <w:bCs w:val="1"/>
          <w:i w:val="1"/>
          <w:iCs w:val="1"/>
          <w:color w:val="auto"/>
        </w:rPr>
      </w:pPr>
      <w:r>
        <w:rPr>
          <w:rFonts w:ascii="Arial" w:cs="Arial" w:eastAsia="Arial" w:hAnsi="Arial"/>
          <w:sz w:val="12"/>
          <w:szCs w:val="12"/>
          <w:color w:val="auto"/>
        </w:rPr>
        <w:t>A joint arrangement is defined as an arrangement in which two or more parties have joint control. Joint control is the contractually agreed sharing of control over an arrangement between two or more parties. This exists only when the decisions about the relevant activities that significantly affect the returns of the arrangement require the unanimous consent of the parties sharing control.</w:t>
      </w:r>
    </w:p>
    <w:p>
      <w:pPr>
        <w:spacing w:after="0" w:line="156" w:lineRule="exact"/>
        <w:rPr>
          <w:rFonts w:ascii="Arial" w:cs="Arial" w:eastAsia="Arial" w:hAnsi="Arial"/>
          <w:sz w:val="11"/>
          <w:szCs w:val="11"/>
          <w:b w:val="1"/>
          <w:bCs w:val="1"/>
          <w:i w:val="1"/>
          <w:iCs w:val="1"/>
          <w:color w:val="auto"/>
        </w:rPr>
      </w:pPr>
    </w:p>
    <w:p>
      <w:pPr>
        <w:jc w:val="both"/>
        <w:ind w:left="1060"/>
        <w:spacing w:after="0" w:line="239" w:lineRule="auto"/>
        <w:rPr>
          <w:rFonts w:ascii="Arial" w:cs="Arial" w:eastAsia="Arial" w:hAnsi="Arial"/>
          <w:sz w:val="11"/>
          <w:szCs w:val="11"/>
          <w:b w:val="1"/>
          <w:bCs w:val="1"/>
          <w:i w:val="1"/>
          <w:iCs w:val="1"/>
          <w:color w:val="auto"/>
        </w:rPr>
      </w:pPr>
      <w:r>
        <w:rPr>
          <w:rFonts w:ascii="Arial" w:cs="Arial" w:eastAsia="Arial" w:hAnsi="Arial"/>
          <w:sz w:val="13"/>
          <w:szCs w:val="13"/>
          <w:color w:val="auto"/>
        </w:rPr>
        <w:t>A joint operation is a joint arrangement whereby the parties have joint control of the arrangement and have rights to the assets and obligations for the liabilities relating to the arrangement. These condensed interim consolidated financial statements include the Company's interests in the assets, liabilities, revenues and expenses of the joint operations, from the date that joint control commenced. Agnico Eagle's 50% interest in Canadian Malartic Corporation and Canadian Malartic GP, the general partnership that holds the Canadian Malartic mine located in Quebec, has been accounted for as a joint operation.</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4" w:name="page35"/>
    <w:bookmarkEnd w:id="34"/>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March 31, 2016</w:t>
      </w:r>
    </w:p>
    <w:p>
      <w:pPr>
        <w:spacing w:after="0" w:line="214" w:lineRule="exact"/>
        <w:rPr>
          <w:sz w:val="20"/>
          <w:szCs w:val="20"/>
          <w:color w:val="auto"/>
        </w:rPr>
      </w:pPr>
    </w:p>
    <w:p>
      <w:pPr>
        <w:ind w:left="260" w:hanging="255"/>
        <w:spacing w:after="0"/>
        <w:tabs>
          <w:tab w:leader="none" w:pos="260" w:val="left"/>
        </w:tabs>
        <w:numPr>
          <w:ilvl w:val="0"/>
          <w:numId w:val="10"/>
        </w:numPr>
        <w:rPr>
          <w:rFonts w:ascii="Arial" w:cs="Arial" w:eastAsia="Arial" w:hAnsi="Arial"/>
          <w:sz w:val="13"/>
          <w:szCs w:val="13"/>
          <w:b w:val="1"/>
          <w:bCs w:val="1"/>
          <w:color w:val="auto"/>
        </w:rPr>
      </w:pPr>
      <w:r>
        <w:rPr>
          <w:rFonts w:ascii="Arial" w:cs="Arial" w:eastAsia="Arial" w:hAnsi="Arial"/>
          <w:sz w:val="13"/>
          <w:szCs w:val="13"/>
          <w:b w:val="1"/>
          <w:bCs w:val="1"/>
          <w:color w:val="auto"/>
        </w:rPr>
        <w:t>ACCOUNTING POLICIES</w:t>
      </w:r>
    </w:p>
    <w:p>
      <w:pPr>
        <w:spacing w:after="0" w:line="208" w:lineRule="exact"/>
        <w:rPr>
          <w:sz w:val="20"/>
          <w:szCs w:val="20"/>
          <w:color w:val="auto"/>
        </w:rPr>
      </w:pPr>
    </w:p>
    <w:p>
      <w:pPr>
        <w:ind w:left="520"/>
        <w:spacing w:after="0"/>
        <w:rPr>
          <w:sz w:val="20"/>
          <w:szCs w:val="20"/>
          <w:color w:val="auto"/>
        </w:rPr>
      </w:pPr>
      <w:r>
        <w:rPr>
          <w:rFonts w:ascii="Arial" w:cs="Arial" w:eastAsia="Arial" w:hAnsi="Arial"/>
          <w:sz w:val="12"/>
          <w:szCs w:val="12"/>
          <w:color w:val="auto"/>
        </w:rPr>
        <w:t>These condensed interim consolidated financial statements follow the same accounting policies and methods of their application as the December 31, 2015 annual audited consolidated financial statements.</w:t>
      </w:r>
    </w:p>
    <w:p>
      <w:pPr>
        <w:spacing w:after="0" w:line="16" w:lineRule="exact"/>
        <w:rPr>
          <w:sz w:val="20"/>
          <w:szCs w:val="20"/>
          <w:color w:val="auto"/>
        </w:rPr>
      </w:pPr>
    </w:p>
    <w:p>
      <w:pPr>
        <w:ind w:left="520"/>
        <w:spacing w:after="0"/>
        <w:rPr>
          <w:sz w:val="20"/>
          <w:szCs w:val="20"/>
          <w:color w:val="auto"/>
        </w:rPr>
      </w:pPr>
      <w:r>
        <w:rPr>
          <w:rFonts w:ascii="Arial" w:cs="Arial" w:eastAsia="Arial" w:hAnsi="Arial"/>
          <w:sz w:val="12"/>
          <w:szCs w:val="12"/>
          <w:color w:val="auto"/>
        </w:rPr>
        <w:t>Management has evaluated all accounting policy pronouncements coming into effect during the three months ended March 31, 2016 and determined that none were applicable to the Company.</w:t>
      </w:r>
    </w:p>
    <w:p>
      <w:pPr>
        <w:spacing w:after="0" w:line="202" w:lineRule="exact"/>
        <w:rPr>
          <w:sz w:val="20"/>
          <w:szCs w:val="20"/>
          <w:color w:val="auto"/>
        </w:rPr>
      </w:pPr>
    </w:p>
    <w:p>
      <w:pPr>
        <w:ind w:left="260" w:hanging="255"/>
        <w:spacing w:after="0"/>
        <w:tabs>
          <w:tab w:leader="none" w:pos="260" w:val="left"/>
        </w:tabs>
        <w:numPr>
          <w:ilvl w:val="0"/>
          <w:numId w:val="11"/>
        </w:numPr>
        <w:rPr>
          <w:rFonts w:ascii="Arial" w:cs="Arial" w:eastAsia="Arial" w:hAnsi="Arial"/>
          <w:sz w:val="13"/>
          <w:szCs w:val="13"/>
          <w:b w:val="1"/>
          <w:bCs w:val="1"/>
          <w:color w:val="auto"/>
        </w:rPr>
      </w:pPr>
      <w:r>
        <w:rPr>
          <w:rFonts w:ascii="Arial" w:cs="Arial" w:eastAsia="Arial" w:hAnsi="Arial"/>
          <w:sz w:val="13"/>
          <w:szCs w:val="13"/>
          <w:b w:val="1"/>
          <w:bCs w:val="1"/>
          <w:color w:val="auto"/>
        </w:rPr>
        <w:t>SIGNIFICANT JUDGMENTS, ESTIMATES AND ASSUMPTIONS</w:t>
      </w:r>
    </w:p>
    <w:p>
      <w:pPr>
        <w:spacing w:after="0" w:line="208"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The preparation of these condensed interim consolidated financial statements in conformity with IFRS requires management to make judgments, estimates and assumptions that affect the amounts reported in the condensed interim consolidated financial statements and accompanying notes. Management believes that the estimates used in the preparation of the condensed interim consolidated financial statements are reasonable; however, actual results may differ materially from these estimates. The areas involving significant judgments, estimates and assumptions have been detailed in note 4 to the Company's annual audited consolidated financial statements for the year ended December 31, 2015.</w:t>
      </w:r>
    </w:p>
    <w:p>
      <w:pPr>
        <w:spacing w:after="0" w:line="187" w:lineRule="exact"/>
        <w:rPr>
          <w:sz w:val="20"/>
          <w:szCs w:val="20"/>
          <w:color w:val="auto"/>
        </w:rPr>
      </w:pPr>
    </w:p>
    <w:p>
      <w:pPr>
        <w:ind w:left="260" w:hanging="255"/>
        <w:spacing w:after="0"/>
        <w:tabs>
          <w:tab w:leader="none" w:pos="260" w:val="left"/>
        </w:tabs>
        <w:numPr>
          <w:ilvl w:val="0"/>
          <w:numId w:val="12"/>
        </w:numPr>
        <w:rPr>
          <w:rFonts w:ascii="Arial" w:cs="Arial" w:eastAsia="Arial" w:hAnsi="Arial"/>
          <w:sz w:val="13"/>
          <w:szCs w:val="13"/>
          <w:b w:val="1"/>
          <w:bCs w:val="1"/>
          <w:color w:val="auto"/>
        </w:rPr>
      </w:pPr>
      <w:r>
        <w:rPr>
          <w:rFonts w:ascii="Arial" w:cs="Arial" w:eastAsia="Arial" w:hAnsi="Arial"/>
          <w:sz w:val="13"/>
          <w:szCs w:val="13"/>
          <w:b w:val="1"/>
          <w:bCs w:val="1"/>
          <w:color w:val="auto"/>
        </w:rPr>
        <w:t>FAIR VALUE MEASUREMENT</w:t>
      </w:r>
    </w:p>
    <w:p>
      <w:pPr>
        <w:spacing w:after="0" w:line="208"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Fair value is the price that would be received to sell an asset or paid to transfer a liability in an orderly transaction between market participants at the measurement date. All assets and liabilities for which fair value is measured or disclosed in the condensed interim consolidated financial statements are categorized within the fair value hierarchy, described, as follows, based on the lowest-level input that is significant to the fair value measurement as a whole:</w:t>
      </w:r>
    </w:p>
    <w:p>
      <w:pPr>
        <w:spacing w:after="0" w:line="188" w:lineRule="exact"/>
        <w:rPr>
          <w:sz w:val="20"/>
          <w:szCs w:val="20"/>
          <w:color w:val="auto"/>
        </w:rPr>
      </w:pPr>
    </w:p>
    <w:p>
      <w:pPr>
        <w:ind w:left="1060"/>
        <w:spacing w:after="0"/>
        <w:rPr>
          <w:sz w:val="20"/>
          <w:szCs w:val="20"/>
          <w:color w:val="auto"/>
        </w:rPr>
      </w:pPr>
      <w:r>
        <w:rPr>
          <w:rFonts w:ascii="Arial" w:cs="Arial" w:eastAsia="Arial" w:hAnsi="Arial"/>
          <w:sz w:val="13"/>
          <w:szCs w:val="13"/>
          <w:color w:val="auto"/>
        </w:rPr>
        <w:t>Level 1 — Unadjusted quoted prices in active markets that are accessible at the measurement date for identical, unrestricted assets or liabilities;</w:t>
      </w:r>
    </w:p>
    <w:p>
      <w:pPr>
        <w:spacing w:after="0" w:line="204" w:lineRule="exact"/>
        <w:rPr>
          <w:sz w:val="20"/>
          <w:szCs w:val="20"/>
          <w:color w:val="auto"/>
        </w:rPr>
      </w:pPr>
    </w:p>
    <w:p>
      <w:pPr>
        <w:ind w:left="1060"/>
        <w:spacing w:after="0"/>
        <w:rPr>
          <w:sz w:val="20"/>
          <w:szCs w:val="20"/>
          <w:color w:val="auto"/>
        </w:rPr>
      </w:pPr>
      <w:r>
        <w:rPr>
          <w:rFonts w:ascii="Arial" w:cs="Arial" w:eastAsia="Arial" w:hAnsi="Arial"/>
          <w:sz w:val="13"/>
          <w:szCs w:val="13"/>
          <w:color w:val="auto"/>
        </w:rPr>
        <w:t>Level 2 — Quoted prices in markets that are not active or inputs that are observable, either directly or indirectly, for substantially the full term of the asset or liability; and</w:t>
      </w:r>
    </w:p>
    <w:p>
      <w:pPr>
        <w:spacing w:after="0" w:line="204" w:lineRule="exact"/>
        <w:rPr>
          <w:sz w:val="20"/>
          <w:szCs w:val="20"/>
          <w:color w:val="auto"/>
        </w:rPr>
      </w:pPr>
    </w:p>
    <w:p>
      <w:pPr>
        <w:jc w:val="center"/>
        <w:ind w:right="100"/>
        <w:spacing w:after="0"/>
        <w:rPr>
          <w:sz w:val="20"/>
          <w:szCs w:val="20"/>
          <w:color w:val="auto"/>
        </w:rPr>
      </w:pPr>
      <w:r>
        <w:rPr>
          <w:rFonts w:ascii="Arial" w:cs="Arial" w:eastAsia="Arial" w:hAnsi="Arial"/>
          <w:sz w:val="13"/>
          <w:szCs w:val="13"/>
          <w:color w:val="auto"/>
        </w:rPr>
        <w:t>Level 3 — Prices or valuation techniques that require inputs that are both significant to the fair value measurement and unobservable (supported by little or no market activity).</w:t>
      </w:r>
    </w:p>
    <w:p>
      <w:pPr>
        <w:spacing w:after="0" w:line="204"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 fair value hierarchy gives the highest priority to Level 1 inputs and the lowest priority to Level 3 inputs.</w:t>
      </w:r>
    </w:p>
    <w:p>
      <w:pPr>
        <w:spacing w:after="0" w:line="204"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For items that are recognized at fair value on a recurring basis, the Company determines whether transfers have occurred between levels in the hierarchy by reassessing their classification at the end of each reporting period.</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2"/>
          <w:szCs w:val="12"/>
          <w:color w:val="auto"/>
        </w:rPr>
        <w:t>During the three months ended March 31, 2016, there were no transfers between Level 1 and Level 2 fair value measurements, and no transfers into or out of Level 3 fair value measurements.</w:t>
      </w:r>
    </w:p>
    <w:p>
      <w:pPr>
        <w:spacing w:after="0" w:line="216"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The Company's financial assets and liabilities include cash and cash equivalents, short-term investments, restricted cash, trade receivables, available-for-sale securities, accounts payable and accrued liabilities, long-term debt and derivative financial instruments.</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2"/>
          <w:szCs w:val="12"/>
          <w:color w:val="auto"/>
        </w:rPr>
        <w:t>The fair values of cash and cash equivalents, short-term investments, restricted cash and accounts payable and accrued liabilities approximate their carrying values due to their short-term nature.</w:t>
      </w:r>
    </w:p>
    <w:p>
      <w:pPr>
        <w:spacing w:after="0" w:line="216"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Long-term debt is recorded on the condensed interim consolidated balance sheets at March 31, 2016 at amortized cost. The fair value of long-term debt is determined by applying a discount rate, reflecting the credit spread based on the Company's credit rating, to future related cash flows which is categorized within Level 2 of the fair value hierarchy. As at March 31, 2016, the Company's long-term debt had a fair value of $1,199.7 million (December 31, 2015 — $1,226.5 million).</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5" w:name="page36"/>
    <w:bookmarkEnd w:id="35"/>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March 31, 2016</w:t>
      </w:r>
    </w:p>
    <w:p>
      <w:pPr>
        <w:spacing w:after="0" w:line="214" w:lineRule="exact"/>
        <w:rPr>
          <w:sz w:val="20"/>
          <w:szCs w:val="20"/>
          <w:color w:val="auto"/>
        </w:rPr>
      </w:pPr>
    </w:p>
    <w:p>
      <w:pPr>
        <w:ind w:left="260" w:hanging="255"/>
        <w:spacing w:after="0"/>
        <w:tabs>
          <w:tab w:leader="none" w:pos="260" w:val="left"/>
        </w:tabs>
        <w:numPr>
          <w:ilvl w:val="0"/>
          <w:numId w:val="13"/>
        </w:numPr>
        <w:rPr>
          <w:rFonts w:ascii="Arial" w:cs="Arial" w:eastAsia="Arial" w:hAnsi="Arial"/>
          <w:sz w:val="13"/>
          <w:szCs w:val="13"/>
          <w:b w:val="1"/>
          <w:bCs w:val="1"/>
          <w:color w:val="auto"/>
        </w:rPr>
      </w:pPr>
      <w:r>
        <w:rPr>
          <w:rFonts w:ascii="Arial" w:cs="Arial" w:eastAsia="Arial" w:hAnsi="Arial"/>
          <w:sz w:val="13"/>
          <w:szCs w:val="13"/>
          <w:b w:val="1"/>
          <w:bCs w:val="1"/>
          <w:color w:val="auto"/>
        </w:rPr>
        <w:t>FAIR VALUE MEASUREMENT (Continued)</w:t>
      </w:r>
    </w:p>
    <w:p>
      <w:pPr>
        <w:spacing w:after="0" w:line="208"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 following table sets out the Company's financial assets and liabilities measured at fair value on a recurring basis as at March 31, 2016 using the fair value hierarchy:</w:t>
      </w:r>
    </w:p>
    <w:p>
      <w:pPr>
        <w:spacing w:after="0" w:line="200" w:lineRule="exact"/>
        <w:rPr>
          <w:sz w:val="20"/>
          <w:szCs w:val="20"/>
          <w:color w:val="auto"/>
        </w:rPr>
      </w:pPr>
    </w:p>
    <w:tbl>
      <w:tblPr>
        <w:tblLayout w:type="fixed"/>
        <w:tblInd w:w="1140" w:type="dxa"/>
        <w:tblCellMar>
          <w:top w:w="0" w:type="dxa"/>
          <w:left w:w="0" w:type="dxa"/>
          <w:bottom w:w="0" w:type="dxa"/>
          <w:right w:w="0" w:type="dxa"/>
        </w:tblCellMar>
      </w:tblPr>
      <w:tr>
        <w:trPr>
          <w:trHeight w:val="157"/>
        </w:trPr>
        <w:tc>
          <w:tcPr>
            <w:tcW w:w="62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gridSpan w:val="3"/>
          </w:tcPr>
          <w:p>
            <w:pPr>
              <w:spacing w:after="0"/>
              <w:rPr>
                <w:sz w:val="20"/>
                <w:szCs w:val="20"/>
                <w:color w:val="auto"/>
              </w:rPr>
            </w:pPr>
            <w:r>
              <w:rPr>
                <w:rFonts w:ascii="Arial" w:cs="Arial" w:eastAsia="Arial" w:hAnsi="Arial"/>
                <w:sz w:val="13"/>
                <w:szCs w:val="13"/>
                <w:b w:val="1"/>
                <w:bCs w:val="1"/>
                <w:color w:val="auto"/>
              </w:rPr>
              <w:t>Level 1</w:t>
            </w:r>
          </w:p>
        </w:tc>
        <w:tc>
          <w:tcPr>
            <w:tcW w:w="80" w:type="dxa"/>
            <w:vAlign w:val="bottom"/>
          </w:tcPr>
          <w:p>
            <w:pPr>
              <w:spacing w:after="0"/>
              <w:rPr>
                <w:sz w:val="13"/>
                <w:szCs w:val="13"/>
                <w:color w:val="auto"/>
              </w:rPr>
            </w:pPr>
          </w:p>
        </w:tc>
        <w:tc>
          <w:tcPr>
            <w:tcW w:w="640" w:type="dxa"/>
            <w:vAlign w:val="bottom"/>
            <w:gridSpan w:val="2"/>
          </w:tcPr>
          <w:p>
            <w:pPr>
              <w:jc w:val="right"/>
              <w:ind w:right="220"/>
              <w:spacing w:after="0"/>
              <w:rPr>
                <w:sz w:val="20"/>
                <w:szCs w:val="20"/>
                <w:color w:val="auto"/>
              </w:rPr>
            </w:pPr>
            <w:r>
              <w:rPr>
                <w:rFonts w:ascii="Arial" w:cs="Arial" w:eastAsia="Arial" w:hAnsi="Arial"/>
                <w:sz w:val="13"/>
                <w:szCs w:val="13"/>
                <w:b w:val="1"/>
                <w:bCs w:val="1"/>
                <w:color w:val="auto"/>
                <w:w w:val="90"/>
              </w:rPr>
              <w:t>Level 2</w:t>
            </w:r>
          </w:p>
        </w:tc>
        <w:tc>
          <w:tcPr>
            <w:tcW w:w="700" w:type="dxa"/>
            <w:vAlign w:val="bottom"/>
            <w:gridSpan w:val="3"/>
          </w:tcPr>
          <w:p>
            <w:pPr>
              <w:ind w:left="80"/>
              <w:spacing w:after="0"/>
              <w:rPr>
                <w:sz w:val="20"/>
                <w:szCs w:val="20"/>
                <w:color w:val="auto"/>
              </w:rPr>
            </w:pPr>
            <w:r>
              <w:rPr>
                <w:rFonts w:ascii="Arial" w:cs="Arial" w:eastAsia="Arial" w:hAnsi="Arial"/>
                <w:sz w:val="13"/>
                <w:szCs w:val="13"/>
                <w:b w:val="1"/>
                <w:bCs w:val="1"/>
                <w:color w:val="auto"/>
              </w:rPr>
              <w:t>Level 3</w:t>
            </w:r>
          </w:p>
        </w:tc>
        <w:tc>
          <w:tcPr>
            <w:tcW w:w="120" w:type="dxa"/>
            <w:vAlign w:val="bottom"/>
          </w:tcPr>
          <w:p>
            <w:pPr>
              <w:spacing w:after="0"/>
              <w:rPr>
                <w:sz w:val="13"/>
                <w:szCs w:val="13"/>
                <w:color w:val="auto"/>
              </w:rPr>
            </w:pPr>
          </w:p>
        </w:tc>
        <w:tc>
          <w:tcPr>
            <w:tcW w:w="600" w:type="dxa"/>
            <w:vAlign w:val="bottom"/>
            <w:gridSpan w:val="2"/>
          </w:tcPr>
          <w:p>
            <w:pPr>
              <w:ind w:left="40"/>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37"/>
        </w:trPr>
        <w:tc>
          <w:tcPr>
            <w:tcW w:w="6260" w:type="dxa"/>
            <w:vAlign w:val="bottom"/>
            <w:shd w:val="clear" w:color="auto" w:fill="CCEEFF"/>
          </w:tcPr>
          <w:p>
            <w:pPr>
              <w:ind w:left="220"/>
              <w:spacing w:after="0" w:line="138" w:lineRule="exact"/>
              <w:rPr>
                <w:sz w:val="20"/>
                <w:szCs w:val="20"/>
                <w:color w:val="auto"/>
              </w:rPr>
            </w:pPr>
            <w:r>
              <w:rPr>
                <w:rFonts w:ascii="Arial" w:cs="Arial" w:eastAsia="Arial" w:hAnsi="Arial"/>
                <w:sz w:val="13"/>
                <w:szCs w:val="13"/>
                <w:b w:val="1"/>
                <w:bCs w:val="1"/>
                <w:color w:val="auto"/>
              </w:rPr>
              <w:t>Financial assets:</w:t>
            </w:r>
          </w:p>
        </w:tc>
        <w:tc>
          <w:tcPr>
            <w:tcW w:w="80" w:type="dxa"/>
            <w:vAlign w:val="bottom"/>
            <w:tcBorders>
              <w:top w:val="single" w:sz="8" w:color="auto"/>
            </w:tcBorders>
            <w:shd w:val="clear" w:color="auto" w:fill="CCEEFF"/>
          </w:tcPr>
          <w:p>
            <w:pPr>
              <w:spacing w:after="0"/>
              <w:rPr>
                <w:sz w:val="11"/>
                <w:szCs w:val="11"/>
                <w:color w:val="auto"/>
              </w:rPr>
            </w:pPr>
          </w:p>
        </w:tc>
        <w:tc>
          <w:tcPr>
            <w:tcW w:w="480" w:type="dxa"/>
            <w:vAlign w:val="bottom"/>
            <w:tcBorders>
              <w:top w:val="single" w:sz="8" w:color="auto"/>
            </w:tcBorders>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4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60" w:type="dxa"/>
            <w:vAlign w:val="bottom"/>
            <w:tcBorders>
              <w:top w:val="single" w:sz="8" w:color="auto"/>
            </w:tcBorders>
            <w:shd w:val="clear" w:color="auto" w:fill="CCEEFF"/>
          </w:tcPr>
          <w:p>
            <w:pPr>
              <w:spacing w:after="0"/>
              <w:rPr>
                <w:sz w:val="11"/>
                <w:szCs w:val="11"/>
                <w:color w:val="auto"/>
              </w:rPr>
            </w:pPr>
          </w:p>
        </w:tc>
        <w:tc>
          <w:tcPr>
            <w:tcW w:w="30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spacing w:after="0"/>
              <w:rPr>
                <w:sz w:val="11"/>
                <w:szCs w:val="11"/>
                <w:color w:val="auto"/>
              </w:rPr>
            </w:pPr>
          </w:p>
        </w:tc>
        <w:tc>
          <w:tcPr>
            <w:tcW w:w="46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6260" w:type="dxa"/>
            <w:vAlign w:val="bottom"/>
          </w:tcPr>
          <w:p>
            <w:pPr>
              <w:ind w:left="220"/>
              <w:spacing w:after="0" w:line="144" w:lineRule="exact"/>
              <w:rPr>
                <w:sz w:val="20"/>
                <w:szCs w:val="20"/>
                <w:color w:val="auto"/>
              </w:rPr>
            </w:pPr>
            <w:r>
              <w:rPr>
                <w:rFonts w:ascii="Arial" w:cs="Arial" w:eastAsia="Arial" w:hAnsi="Arial"/>
                <w:sz w:val="13"/>
                <w:szCs w:val="13"/>
                <w:color w:val="auto"/>
              </w:rPr>
              <w:t>Trade receivables</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3"/>
          </w:tcPr>
          <w:p>
            <w:pPr>
              <w:ind w:left="3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5,641</w:t>
            </w:r>
          </w:p>
        </w:tc>
        <w:tc>
          <w:tcPr>
            <w:tcW w:w="260" w:type="dxa"/>
            <w:vAlign w:val="bottom"/>
          </w:tcPr>
          <w:p>
            <w:pPr>
              <w:jc w:val="right"/>
              <w:ind w:right="114"/>
              <w:spacing w:after="0" w:line="144" w:lineRule="exact"/>
              <w:rPr>
                <w:sz w:val="20"/>
                <w:szCs w:val="20"/>
                <w:color w:val="auto"/>
              </w:rPr>
            </w:pPr>
            <w:r>
              <w:rPr>
                <w:rFonts w:ascii="Arial" w:cs="Arial" w:eastAsia="Arial" w:hAnsi="Arial"/>
                <w:sz w:val="13"/>
                <w:szCs w:val="13"/>
                <w:color w:val="auto"/>
                <w:w w:val="82"/>
              </w:rPr>
              <w:t>$</w:t>
            </w:r>
          </w:p>
        </w:tc>
        <w:tc>
          <w:tcPr>
            <w:tcW w:w="440" w:type="dxa"/>
            <w:vAlign w:val="bottom"/>
            <w:gridSpan w:val="2"/>
          </w:tcPr>
          <w:p>
            <w:pPr>
              <w:ind w:left="160"/>
              <w:spacing w:after="0" w:line="144" w:lineRule="exact"/>
              <w:rPr>
                <w:sz w:val="20"/>
                <w:szCs w:val="20"/>
                <w:color w:val="auto"/>
              </w:rPr>
            </w:pPr>
            <w:r>
              <w:rPr>
                <w:rFonts w:ascii="Arial" w:cs="Arial" w:eastAsia="Arial" w:hAnsi="Arial"/>
                <w:sz w:val="13"/>
                <w:szCs w:val="13"/>
                <w:color w:val="auto"/>
              </w:rPr>
              <w:t>—</w:t>
            </w:r>
          </w:p>
        </w:tc>
        <w:tc>
          <w:tcPr>
            <w:tcW w:w="120" w:type="dxa"/>
            <w:vAlign w:val="bottom"/>
          </w:tcPr>
          <w:p>
            <w:pPr>
              <w:jc w:val="right"/>
              <w:spacing w:after="0" w:line="144" w:lineRule="exact"/>
              <w:rPr>
                <w:sz w:val="20"/>
                <w:szCs w:val="20"/>
                <w:color w:val="auto"/>
              </w:rPr>
            </w:pPr>
            <w:r>
              <w:rPr>
                <w:rFonts w:ascii="Arial" w:cs="Arial" w:eastAsia="Arial" w:hAnsi="Arial"/>
                <w:sz w:val="13"/>
                <w:szCs w:val="13"/>
                <w:color w:val="auto"/>
              </w:rPr>
              <w:t>$</w:t>
            </w:r>
          </w:p>
        </w:tc>
        <w:tc>
          <w:tcPr>
            <w:tcW w:w="60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5,641</w:t>
            </w:r>
          </w:p>
        </w:tc>
        <w:tc>
          <w:tcPr>
            <w:tcW w:w="0" w:type="dxa"/>
            <w:vAlign w:val="bottom"/>
          </w:tcPr>
          <w:p>
            <w:pPr>
              <w:spacing w:after="0"/>
              <w:rPr>
                <w:sz w:val="1"/>
                <w:szCs w:val="1"/>
                <w:color w:val="auto"/>
              </w:rPr>
            </w:pPr>
          </w:p>
        </w:tc>
      </w:tr>
      <w:tr>
        <w:trPr>
          <w:trHeight w:val="144"/>
        </w:trPr>
        <w:tc>
          <w:tcPr>
            <w:tcW w:w="626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Available-for-sale securities</w:t>
            </w: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ind w:left="120"/>
              <w:spacing w:after="0" w:line="144" w:lineRule="exact"/>
              <w:rPr>
                <w:sz w:val="20"/>
                <w:szCs w:val="20"/>
                <w:color w:val="auto"/>
              </w:rPr>
            </w:pPr>
            <w:r>
              <w:rPr>
                <w:rFonts w:ascii="Arial" w:cs="Arial" w:eastAsia="Arial" w:hAnsi="Arial"/>
                <w:sz w:val="13"/>
                <w:szCs w:val="13"/>
                <w:color w:val="auto"/>
                <w:w w:val="90"/>
              </w:rPr>
              <w:t>61,430</w:t>
            </w: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4,920</w:t>
            </w:r>
          </w:p>
        </w:tc>
        <w:tc>
          <w:tcPr>
            <w:tcW w:w="2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ind w:lef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66,350</w:t>
            </w:r>
          </w:p>
        </w:tc>
        <w:tc>
          <w:tcPr>
            <w:tcW w:w="0" w:type="dxa"/>
            <w:vAlign w:val="bottom"/>
          </w:tcPr>
          <w:p>
            <w:pPr>
              <w:spacing w:after="0"/>
              <w:rPr>
                <w:sz w:val="1"/>
                <w:szCs w:val="1"/>
                <w:color w:val="auto"/>
              </w:rPr>
            </w:pPr>
          </w:p>
        </w:tc>
      </w:tr>
      <w:tr>
        <w:trPr>
          <w:trHeight w:val="168"/>
        </w:trPr>
        <w:tc>
          <w:tcPr>
            <w:tcW w:w="6260" w:type="dxa"/>
            <w:vAlign w:val="bottom"/>
          </w:tcPr>
          <w:p>
            <w:pPr>
              <w:ind w:left="220"/>
              <w:spacing w:after="0"/>
              <w:rPr>
                <w:sz w:val="20"/>
                <w:szCs w:val="20"/>
                <w:color w:val="auto"/>
              </w:rPr>
            </w:pPr>
            <w:r>
              <w:rPr>
                <w:rFonts w:ascii="Arial" w:cs="Arial" w:eastAsia="Arial" w:hAnsi="Arial"/>
                <w:sz w:val="13"/>
                <w:szCs w:val="13"/>
                <w:color w:val="auto"/>
              </w:rPr>
              <w:t>Fair value of derivative financial instruments</w:t>
            </w:r>
          </w:p>
        </w:tc>
        <w:tc>
          <w:tcPr>
            <w:tcW w:w="80" w:type="dxa"/>
            <w:vAlign w:val="bottom"/>
          </w:tcPr>
          <w:p>
            <w:pPr>
              <w:spacing w:after="0"/>
              <w:rPr>
                <w:sz w:val="14"/>
                <w:szCs w:val="14"/>
                <w:color w:val="auto"/>
              </w:rPr>
            </w:pPr>
          </w:p>
        </w:tc>
        <w:tc>
          <w:tcPr>
            <w:tcW w:w="640" w:type="dxa"/>
            <w:vAlign w:val="bottom"/>
            <w:gridSpan w:val="3"/>
          </w:tcPr>
          <w:p>
            <w:pPr>
              <w:ind w:left="3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3"/>
                <w:szCs w:val="13"/>
                <w:color w:val="auto"/>
              </w:rPr>
              <w:t>4,520</w:t>
            </w:r>
          </w:p>
        </w:tc>
        <w:tc>
          <w:tcPr>
            <w:tcW w:w="260" w:type="dxa"/>
            <w:vAlign w:val="bottom"/>
          </w:tcPr>
          <w:p>
            <w:pPr>
              <w:spacing w:after="0"/>
              <w:rPr>
                <w:sz w:val="14"/>
                <w:szCs w:val="14"/>
                <w:color w:val="auto"/>
              </w:rPr>
            </w:pPr>
          </w:p>
        </w:tc>
        <w:tc>
          <w:tcPr>
            <w:tcW w:w="440" w:type="dxa"/>
            <w:vAlign w:val="bottom"/>
            <w:gridSpan w:val="2"/>
          </w:tcPr>
          <w:p>
            <w:pPr>
              <w:ind w:lef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3"/>
                <w:szCs w:val="13"/>
                <w:color w:val="auto"/>
              </w:rPr>
              <w:t>4,520</w:t>
            </w:r>
          </w:p>
        </w:tc>
        <w:tc>
          <w:tcPr>
            <w:tcW w:w="0" w:type="dxa"/>
            <w:vAlign w:val="bottom"/>
          </w:tcPr>
          <w:p>
            <w:pPr>
              <w:spacing w:after="0"/>
              <w:rPr>
                <w:sz w:val="1"/>
                <w:szCs w:val="1"/>
                <w:color w:val="auto"/>
              </w:rPr>
            </w:pPr>
          </w:p>
        </w:tc>
      </w:tr>
      <w:tr>
        <w:trPr>
          <w:trHeight w:val="20"/>
        </w:trPr>
        <w:tc>
          <w:tcPr>
            <w:tcW w:w="62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6260" w:type="dxa"/>
            <w:vAlign w:val="bottom"/>
            <w:shd w:val="clear" w:color="auto" w:fill="CCEEFF"/>
          </w:tcPr>
          <w:p>
            <w:pPr>
              <w:ind w:left="220"/>
              <w:spacing w:after="0" w:line="140" w:lineRule="exact"/>
              <w:rPr>
                <w:sz w:val="20"/>
                <w:szCs w:val="20"/>
                <w:color w:val="auto"/>
              </w:rPr>
            </w:pPr>
            <w:r>
              <w:rPr>
                <w:rFonts w:ascii="Arial" w:cs="Arial" w:eastAsia="Arial" w:hAnsi="Arial"/>
                <w:sz w:val="13"/>
                <w:szCs w:val="13"/>
                <w:color w:val="auto"/>
              </w:rPr>
              <w:t>Total financial assets</w:t>
            </w:r>
          </w:p>
        </w:tc>
        <w:tc>
          <w:tcPr>
            <w:tcW w:w="8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480" w:type="dxa"/>
            <w:vAlign w:val="bottom"/>
            <w:shd w:val="clear" w:color="auto" w:fill="CCEEFF"/>
          </w:tcPr>
          <w:p>
            <w:pPr>
              <w:ind w:left="120"/>
              <w:spacing w:after="0" w:line="140" w:lineRule="exact"/>
              <w:rPr>
                <w:sz w:val="20"/>
                <w:szCs w:val="20"/>
                <w:color w:val="auto"/>
              </w:rPr>
            </w:pPr>
            <w:r>
              <w:rPr>
                <w:rFonts w:ascii="Arial" w:cs="Arial" w:eastAsia="Arial" w:hAnsi="Arial"/>
                <w:sz w:val="13"/>
                <w:szCs w:val="13"/>
                <w:color w:val="auto"/>
                <w:w w:val="85"/>
              </w:rPr>
              <w:t>61,430</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15,081</w:t>
            </w:r>
          </w:p>
        </w:tc>
        <w:tc>
          <w:tcPr>
            <w:tcW w:w="260" w:type="dxa"/>
            <w:vAlign w:val="bottom"/>
            <w:shd w:val="clear" w:color="auto" w:fill="CCEEFF"/>
          </w:tcPr>
          <w:p>
            <w:pPr>
              <w:jc w:val="right"/>
              <w:ind w:right="114"/>
              <w:spacing w:after="0" w:line="140" w:lineRule="exact"/>
              <w:rPr>
                <w:sz w:val="20"/>
                <w:szCs w:val="20"/>
                <w:color w:val="auto"/>
              </w:rPr>
            </w:pPr>
            <w:r>
              <w:rPr>
                <w:rFonts w:ascii="Arial" w:cs="Arial" w:eastAsia="Arial" w:hAnsi="Arial"/>
                <w:sz w:val="13"/>
                <w:szCs w:val="13"/>
                <w:color w:val="auto"/>
                <w:w w:val="82"/>
              </w:rPr>
              <w:t>$</w:t>
            </w:r>
          </w:p>
        </w:tc>
        <w:tc>
          <w:tcPr>
            <w:tcW w:w="440" w:type="dxa"/>
            <w:vAlign w:val="bottom"/>
            <w:gridSpan w:val="2"/>
            <w:shd w:val="clear" w:color="auto" w:fill="CCEEFF"/>
          </w:tcPr>
          <w:p>
            <w:pPr>
              <w:ind w:left="160"/>
              <w:spacing w:after="0" w:line="140"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rPr>
              <w:t>$</w:t>
            </w:r>
          </w:p>
        </w:tc>
        <w:tc>
          <w:tcPr>
            <w:tcW w:w="60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76,511</w:t>
            </w:r>
          </w:p>
        </w:tc>
        <w:tc>
          <w:tcPr>
            <w:tcW w:w="0" w:type="dxa"/>
            <w:vAlign w:val="bottom"/>
          </w:tcPr>
          <w:p>
            <w:pPr>
              <w:spacing w:after="0"/>
              <w:rPr>
                <w:sz w:val="1"/>
                <w:szCs w:val="1"/>
                <w:color w:val="auto"/>
              </w:rPr>
            </w:pPr>
          </w:p>
        </w:tc>
      </w:tr>
      <w:tr>
        <w:trPr>
          <w:trHeight w:val="26"/>
        </w:trPr>
        <w:tc>
          <w:tcPr>
            <w:tcW w:w="6260" w:type="dxa"/>
            <w:vAlign w:val="bottom"/>
            <w:vMerge w:val="restart"/>
          </w:tcPr>
          <w:p>
            <w:pPr>
              <w:ind w:left="220"/>
              <w:spacing w:after="0"/>
              <w:rPr>
                <w:sz w:val="20"/>
                <w:szCs w:val="20"/>
                <w:color w:val="auto"/>
              </w:rPr>
            </w:pPr>
            <w:r>
              <w:rPr>
                <w:rFonts w:ascii="Arial" w:cs="Arial" w:eastAsia="Arial" w:hAnsi="Arial"/>
                <w:sz w:val="13"/>
                <w:szCs w:val="13"/>
                <w:b w:val="1"/>
                <w:bCs w:val="1"/>
                <w:color w:val="auto"/>
              </w:rPr>
              <w:t>Financial liabilities:</w:t>
            </w:r>
          </w:p>
        </w:tc>
        <w:tc>
          <w:tcPr>
            <w:tcW w:w="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260" w:type="dxa"/>
            <w:vAlign w:val="bottom"/>
            <w:vMerge w:val="continue"/>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4"/>
        </w:trPr>
        <w:tc>
          <w:tcPr>
            <w:tcW w:w="6260" w:type="dxa"/>
            <w:vAlign w:val="bottom"/>
            <w:vMerge w:val="continue"/>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626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Fair value of derivative financial instruments</w:t>
            </w:r>
          </w:p>
        </w:tc>
        <w:tc>
          <w:tcPr>
            <w:tcW w:w="8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3"/>
            <w:shd w:val="clear" w:color="auto" w:fill="CCEEFF"/>
          </w:tcPr>
          <w:p>
            <w:pPr>
              <w:ind w:left="3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1,709</w:t>
            </w:r>
          </w:p>
        </w:tc>
        <w:tc>
          <w:tcPr>
            <w:tcW w:w="260" w:type="dxa"/>
            <w:vAlign w:val="bottom"/>
            <w:shd w:val="clear" w:color="auto" w:fill="CCEEFF"/>
          </w:tcPr>
          <w:p>
            <w:pPr>
              <w:jc w:val="right"/>
              <w:ind w:right="114"/>
              <w:spacing w:after="0" w:line="144" w:lineRule="exact"/>
              <w:rPr>
                <w:sz w:val="20"/>
                <w:szCs w:val="20"/>
                <w:color w:val="auto"/>
              </w:rPr>
            </w:pPr>
            <w:r>
              <w:rPr>
                <w:rFonts w:ascii="Arial" w:cs="Arial" w:eastAsia="Arial" w:hAnsi="Arial"/>
                <w:sz w:val="13"/>
                <w:szCs w:val="13"/>
                <w:color w:val="auto"/>
                <w:w w:val="82"/>
              </w:rPr>
              <w:t>$</w:t>
            </w:r>
          </w:p>
        </w:tc>
        <w:tc>
          <w:tcPr>
            <w:tcW w:w="440" w:type="dxa"/>
            <w:vAlign w:val="bottom"/>
            <w:gridSpan w:val="2"/>
            <w:shd w:val="clear" w:color="auto" w:fill="CCEEFF"/>
          </w:tcPr>
          <w:p>
            <w:pPr>
              <w:ind w:lef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rPr>
              <w:t>$</w:t>
            </w:r>
          </w:p>
        </w:tc>
        <w:tc>
          <w:tcPr>
            <w:tcW w:w="60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1,709</w:t>
            </w:r>
          </w:p>
        </w:tc>
        <w:tc>
          <w:tcPr>
            <w:tcW w:w="0" w:type="dxa"/>
            <w:vAlign w:val="bottom"/>
          </w:tcPr>
          <w:p>
            <w:pPr>
              <w:spacing w:after="0"/>
              <w:rPr>
                <w:sz w:val="1"/>
                <w:szCs w:val="1"/>
                <w:color w:val="auto"/>
              </w:rPr>
            </w:pPr>
          </w:p>
        </w:tc>
      </w:tr>
      <w:tr>
        <w:trPr>
          <w:trHeight w:val="26"/>
        </w:trPr>
        <w:tc>
          <w:tcPr>
            <w:tcW w:w="6260" w:type="dxa"/>
            <w:vAlign w:val="bottom"/>
            <w:vMerge w:val="restart"/>
          </w:tcPr>
          <w:p>
            <w:pPr>
              <w:ind w:left="220"/>
              <w:spacing w:after="0"/>
              <w:rPr>
                <w:sz w:val="20"/>
                <w:szCs w:val="20"/>
                <w:color w:val="auto"/>
              </w:rPr>
            </w:pPr>
            <w:r>
              <w:rPr>
                <w:rFonts w:ascii="Arial" w:cs="Arial" w:eastAsia="Arial" w:hAnsi="Arial"/>
                <w:sz w:val="13"/>
                <w:szCs w:val="13"/>
                <w:color w:val="auto"/>
              </w:rPr>
              <w:t>Total financial liabilities</w:t>
            </w:r>
          </w:p>
        </w:tc>
        <w:tc>
          <w:tcPr>
            <w:tcW w:w="80" w:type="dxa"/>
            <w:vAlign w:val="bottom"/>
          </w:tcPr>
          <w:p>
            <w:pPr>
              <w:spacing w:after="0"/>
              <w:rPr>
                <w:sz w:val="2"/>
                <w:szCs w:val="2"/>
                <w:color w:val="auto"/>
              </w:rPr>
            </w:pPr>
          </w:p>
        </w:tc>
        <w:tc>
          <w:tcPr>
            <w:tcW w:w="5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260" w:type="dxa"/>
            <w:vAlign w:val="bottom"/>
          </w:tcPr>
          <w:p>
            <w:pPr>
              <w:spacing w:after="0"/>
              <w:rPr>
                <w:sz w:val="2"/>
                <w:szCs w:val="2"/>
                <w:color w:val="auto"/>
              </w:rPr>
            </w:pPr>
          </w:p>
        </w:tc>
        <w:tc>
          <w:tcPr>
            <w:tcW w:w="44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6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6260" w:type="dxa"/>
            <w:vAlign w:val="bottom"/>
            <w:vMerge w:val="continue"/>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480" w:type="dxa"/>
            <w:vAlign w:val="bottom"/>
            <w:tcBorders>
              <w:top w:val="single" w:sz="8" w:color="auto"/>
              <w:bottom w:val="single" w:sz="8" w:color="auto"/>
            </w:tcBorders>
          </w:tcPr>
          <w:p>
            <w:pPr>
              <w:ind w:left="360"/>
              <w:spacing w:after="0"/>
              <w:rPr>
                <w:sz w:val="20"/>
                <w:szCs w:val="20"/>
                <w:color w:val="auto"/>
              </w:rPr>
            </w:pPr>
            <w:r>
              <w:rPr>
                <w:rFonts w:ascii="Arial" w:cs="Arial" w:eastAsia="Arial" w:hAnsi="Arial"/>
                <w:sz w:val="13"/>
                <w:szCs w:val="13"/>
                <w:color w:val="auto"/>
                <w:w w:val="76"/>
              </w:rPr>
              <w:t>—</w:t>
            </w:r>
          </w:p>
        </w:tc>
        <w:tc>
          <w:tcPr>
            <w:tcW w:w="2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1,709</w:t>
            </w:r>
          </w:p>
        </w:tc>
        <w:tc>
          <w:tcPr>
            <w:tcW w:w="160" w:type="dxa"/>
            <w:vAlign w:val="bottom"/>
          </w:tcPr>
          <w:p>
            <w:pPr>
              <w:spacing w:after="0"/>
              <w:rPr>
                <w:sz w:val="13"/>
                <w:szCs w:val="13"/>
                <w:color w:val="auto"/>
              </w:rPr>
            </w:pPr>
          </w:p>
        </w:tc>
        <w:tc>
          <w:tcPr>
            <w:tcW w:w="260" w:type="dxa"/>
            <w:vAlign w:val="bottom"/>
            <w:tcBorders>
              <w:top w:val="single" w:sz="8" w:color="auto"/>
              <w:bottom w:val="single" w:sz="8" w:color="auto"/>
            </w:tcBorders>
          </w:tcPr>
          <w:p>
            <w:pPr>
              <w:jc w:val="right"/>
              <w:ind w:right="114"/>
              <w:spacing w:after="0"/>
              <w:rPr>
                <w:sz w:val="20"/>
                <w:szCs w:val="20"/>
                <w:color w:val="auto"/>
              </w:rPr>
            </w:pPr>
            <w:r>
              <w:rPr>
                <w:rFonts w:ascii="Arial" w:cs="Arial" w:eastAsia="Arial" w:hAnsi="Arial"/>
                <w:sz w:val="13"/>
                <w:szCs w:val="13"/>
                <w:color w:val="auto"/>
                <w:w w:val="82"/>
              </w:rPr>
              <w:t>$</w:t>
            </w:r>
          </w:p>
        </w:tc>
        <w:tc>
          <w:tcPr>
            <w:tcW w:w="300" w:type="dxa"/>
            <w:vAlign w:val="bottom"/>
            <w:tcBorders>
              <w:top w:val="single" w:sz="8" w:color="auto"/>
              <w:bottom w:val="single" w:sz="8" w:color="auto"/>
            </w:tcBorders>
          </w:tcPr>
          <w:p>
            <w:pPr>
              <w:ind w:left="160"/>
              <w:spacing w:after="0"/>
              <w:rPr>
                <w:sz w:val="20"/>
                <w:szCs w:val="20"/>
                <w:color w:val="auto"/>
              </w:rPr>
            </w:pPr>
            <w:r>
              <w:rPr>
                <w:rFonts w:ascii="Arial" w:cs="Arial" w:eastAsia="Arial" w:hAnsi="Arial"/>
                <w:sz w:val="13"/>
                <w:szCs w:val="13"/>
                <w:color w:val="auto"/>
                <w:w w:val="91"/>
              </w:rPr>
              <w:t>—</w:t>
            </w:r>
          </w:p>
        </w:tc>
        <w:tc>
          <w:tcPr>
            <w:tcW w:w="14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1,709</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62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 following table sets out the Company's financial assets and liabilities measured at fair value on a recurring basis as at December 31, 2015 using the fair value hierarchy:</w:t>
      </w:r>
    </w:p>
    <w:p>
      <w:pPr>
        <w:spacing w:after="0" w:line="200" w:lineRule="exact"/>
        <w:rPr>
          <w:sz w:val="20"/>
          <w:szCs w:val="20"/>
          <w:color w:val="auto"/>
        </w:rPr>
      </w:pPr>
    </w:p>
    <w:tbl>
      <w:tblPr>
        <w:tblLayout w:type="fixed"/>
        <w:tblInd w:w="1140" w:type="dxa"/>
        <w:tblCellMar>
          <w:top w:w="0" w:type="dxa"/>
          <w:left w:w="0" w:type="dxa"/>
          <w:bottom w:w="0" w:type="dxa"/>
          <w:right w:w="0" w:type="dxa"/>
        </w:tblCellMar>
      </w:tblPr>
      <w:tr>
        <w:trPr>
          <w:trHeight w:val="157"/>
        </w:trPr>
        <w:tc>
          <w:tcPr>
            <w:tcW w:w="62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gridSpan w:val="3"/>
          </w:tcPr>
          <w:p>
            <w:pPr>
              <w:spacing w:after="0"/>
              <w:rPr>
                <w:sz w:val="20"/>
                <w:szCs w:val="20"/>
                <w:color w:val="auto"/>
              </w:rPr>
            </w:pPr>
            <w:r>
              <w:rPr>
                <w:rFonts w:ascii="Arial" w:cs="Arial" w:eastAsia="Arial" w:hAnsi="Arial"/>
                <w:sz w:val="13"/>
                <w:szCs w:val="13"/>
                <w:b w:val="1"/>
                <w:bCs w:val="1"/>
                <w:color w:val="auto"/>
              </w:rPr>
              <w:t>Level 1</w:t>
            </w:r>
          </w:p>
        </w:tc>
        <w:tc>
          <w:tcPr>
            <w:tcW w:w="80" w:type="dxa"/>
            <w:vAlign w:val="bottom"/>
          </w:tcPr>
          <w:p>
            <w:pPr>
              <w:spacing w:after="0"/>
              <w:rPr>
                <w:sz w:val="13"/>
                <w:szCs w:val="13"/>
                <w:color w:val="auto"/>
              </w:rPr>
            </w:pPr>
          </w:p>
        </w:tc>
        <w:tc>
          <w:tcPr>
            <w:tcW w:w="640" w:type="dxa"/>
            <w:vAlign w:val="bottom"/>
            <w:gridSpan w:val="2"/>
          </w:tcPr>
          <w:p>
            <w:pPr>
              <w:jc w:val="right"/>
              <w:ind w:right="220"/>
              <w:spacing w:after="0"/>
              <w:rPr>
                <w:sz w:val="20"/>
                <w:szCs w:val="20"/>
                <w:color w:val="auto"/>
              </w:rPr>
            </w:pPr>
            <w:r>
              <w:rPr>
                <w:rFonts w:ascii="Arial" w:cs="Arial" w:eastAsia="Arial" w:hAnsi="Arial"/>
                <w:sz w:val="13"/>
                <w:szCs w:val="13"/>
                <w:b w:val="1"/>
                <w:bCs w:val="1"/>
                <w:color w:val="auto"/>
                <w:w w:val="90"/>
              </w:rPr>
              <w:t>Level 2</w:t>
            </w:r>
          </w:p>
        </w:tc>
        <w:tc>
          <w:tcPr>
            <w:tcW w:w="700" w:type="dxa"/>
            <w:vAlign w:val="bottom"/>
            <w:gridSpan w:val="3"/>
          </w:tcPr>
          <w:p>
            <w:pPr>
              <w:ind w:left="80"/>
              <w:spacing w:after="0"/>
              <w:rPr>
                <w:sz w:val="20"/>
                <w:szCs w:val="20"/>
                <w:color w:val="auto"/>
              </w:rPr>
            </w:pPr>
            <w:r>
              <w:rPr>
                <w:rFonts w:ascii="Arial" w:cs="Arial" w:eastAsia="Arial" w:hAnsi="Arial"/>
                <w:sz w:val="13"/>
                <w:szCs w:val="13"/>
                <w:b w:val="1"/>
                <w:bCs w:val="1"/>
                <w:color w:val="auto"/>
              </w:rPr>
              <w:t>Level 3</w:t>
            </w:r>
          </w:p>
        </w:tc>
        <w:tc>
          <w:tcPr>
            <w:tcW w:w="120" w:type="dxa"/>
            <w:vAlign w:val="bottom"/>
          </w:tcPr>
          <w:p>
            <w:pPr>
              <w:spacing w:after="0"/>
              <w:rPr>
                <w:sz w:val="13"/>
                <w:szCs w:val="13"/>
                <w:color w:val="auto"/>
              </w:rPr>
            </w:pPr>
          </w:p>
        </w:tc>
        <w:tc>
          <w:tcPr>
            <w:tcW w:w="600" w:type="dxa"/>
            <w:vAlign w:val="bottom"/>
            <w:gridSpan w:val="2"/>
          </w:tcPr>
          <w:p>
            <w:pPr>
              <w:ind w:left="40"/>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37"/>
        </w:trPr>
        <w:tc>
          <w:tcPr>
            <w:tcW w:w="6260" w:type="dxa"/>
            <w:vAlign w:val="bottom"/>
            <w:shd w:val="clear" w:color="auto" w:fill="CCEEFF"/>
          </w:tcPr>
          <w:p>
            <w:pPr>
              <w:ind w:left="220"/>
              <w:spacing w:after="0" w:line="138" w:lineRule="exact"/>
              <w:rPr>
                <w:sz w:val="20"/>
                <w:szCs w:val="20"/>
                <w:color w:val="auto"/>
              </w:rPr>
            </w:pPr>
            <w:r>
              <w:rPr>
                <w:rFonts w:ascii="Arial" w:cs="Arial" w:eastAsia="Arial" w:hAnsi="Arial"/>
                <w:sz w:val="13"/>
                <w:szCs w:val="13"/>
                <w:b w:val="1"/>
                <w:bCs w:val="1"/>
                <w:color w:val="auto"/>
              </w:rPr>
              <w:t>Financial assets:</w:t>
            </w:r>
          </w:p>
        </w:tc>
        <w:tc>
          <w:tcPr>
            <w:tcW w:w="80" w:type="dxa"/>
            <w:vAlign w:val="bottom"/>
            <w:tcBorders>
              <w:top w:val="single" w:sz="8" w:color="auto"/>
            </w:tcBorders>
            <w:shd w:val="clear" w:color="auto" w:fill="CCEEFF"/>
          </w:tcPr>
          <w:p>
            <w:pPr>
              <w:spacing w:after="0"/>
              <w:rPr>
                <w:sz w:val="11"/>
                <w:szCs w:val="11"/>
                <w:color w:val="auto"/>
              </w:rPr>
            </w:pPr>
          </w:p>
        </w:tc>
        <w:tc>
          <w:tcPr>
            <w:tcW w:w="480" w:type="dxa"/>
            <w:vAlign w:val="bottom"/>
            <w:tcBorders>
              <w:top w:val="single" w:sz="8" w:color="auto"/>
            </w:tcBorders>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480" w:type="dxa"/>
            <w:vAlign w:val="bottom"/>
            <w:tcBorders>
              <w:top w:val="single" w:sz="8" w:color="auto"/>
            </w:tcBorders>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60" w:type="dxa"/>
            <w:vAlign w:val="bottom"/>
            <w:tcBorders>
              <w:top w:val="single" w:sz="8" w:color="auto"/>
            </w:tcBorders>
            <w:shd w:val="clear" w:color="auto" w:fill="CCEEFF"/>
          </w:tcPr>
          <w:p>
            <w:pPr>
              <w:spacing w:after="0"/>
              <w:rPr>
                <w:sz w:val="11"/>
                <w:szCs w:val="11"/>
                <w:color w:val="auto"/>
              </w:rPr>
            </w:pPr>
          </w:p>
        </w:tc>
        <w:tc>
          <w:tcPr>
            <w:tcW w:w="30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 w:type="dxa"/>
            <w:vAlign w:val="bottom"/>
            <w:tcBorders>
              <w:top w:val="single" w:sz="8" w:color="auto"/>
            </w:tcBorders>
            <w:shd w:val="clear" w:color="auto" w:fill="CCEEFF"/>
          </w:tcPr>
          <w:p>
            <w:pPr>
              <w:spacing w:after="0"/>
              <w:rPr>
                <w:sz w:val="11"/>
                <w:szCs w:val="11"/>
                <w:color w:val="auto"/>
              </w:rPr>
            </w:pPr>
          </w:p>
        </w:tc>
        <w:tc>
          <w:tcPr>
            <w:tcW w:w="460" w:type="dxa"/>
            <w:vAlign w:val="bottom"/>
            <w:tcBorders>
              <w:top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6260" w:type="dxa"/>
            <w:vAlign w:val="bottom"/>
          </w:tcPr>
          <w:p>
            <w:pPr>
              <w:ind w:left="220"/>
              <w:spacing w:after="0" w:line="144" w:lineRule="exact"/>
              <w:rPr>
                <w:sz w:val="20"/>
                <w:szCs w:val="20"/>
                <w:color w:val="auto"/>
              </w:rPr>
            </w:pPr>
            <w:r>
              <w:rPr>
                <w:rFonts w:ascii="Arial" w:cs="Arial" w:eastAsia="Arial" w:hAnsi="Arial"/>
                <w:sz w:val="13"/>
                <w:szCs w:val="13"/>
                <w:color w:val="auto"/>
              </w:rPr>
              <w:t>Trade receivables</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3"/>
          </w:tcPr>
          <w:p>
            <w:pPr>
              <w:ind w:left="3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7,714</w:t>
            </w:r>
          </w:p>
        </w:tc>
        <w:tc>
          <w:tcPr>
            <w:tcW w:w="260" w:type="dxa"/>
            <w:vAlign w:val="bottom"/>
          </w:tcPr>
          <w:p>
            <w:pPr>
              <w:jc w:val="right"/>
              <w:ind w:right="114"/>
              <w:spacing w:after="0" w:line="144" w:lineRule="exact"/>
              <w:rPr>
                <w:sz w:val="20"/>
                <w:szCs w:val="20"/>
                <w:color w:val="auto"/>
              </w:rPr>
            </w:pPr>
            <w:r>
              <w:rPr>
                <w:rFonts w:ascii="Arial" w:cs="Arial" w:eastAsia="Arial" w:hAnsi="Arial"/>
                <w:sz w:val="13"/>
                <w:szCs w:val="13"/>
                <w:color w:val="auto"/>
                <w:w w:val="82"/>
              </w:rPr>
              <w:t>$</w:t>
            </w:r>
          </w:p>
        </w:tc>
        <w:tc>
          <w:tcPr>
            <w:tcW w:w="440" w:type="dxa"/>
            <w:vAlign w:val="bottom"/>
            <w:gridSpan w:val="2"/>
          </w:tcPr>
          <w:p>
            <w:pPr>
              <w:ind w:left="160"/>
              <w:spacing w:after="0" w:line="144" w:lineRule="exact"/>
              <w:rPr>
                <w:sz w:val="20"/>
                <w:szCs w:val="20"/>
                <w:color w:val="auto"/>
              </w:rPr>
            </w:pPr>
            <w:r>
              <w:rPr>
                <w:rFonts w:ascii="Arial" w:cs="Arial" w:eastAsia="Arial" w:hAnsi="Arial"/>
                <w:sz w:val="13"/>
                <w:szCs w:val="13"/>
                <w:color w:val="auto"/>
              </w:rPr>
              <w:t>—</w:t>
            </w:r>
          </w:p>
        </w:tc>
        <w:tc>
          <w:tcPr>
            <w:tcW w:w="120" w:type="dxa"/>
            <w:vAlign w:val="bottom"/>
          </w:tcPr>
          <w:p>
            <w:pPr>
              <w:jc w:val="right"/>
              <w:spacing w:after="0" w:line="144" w:lineRule="exact"/>
              <w:rPr>
                <w:sz w:val="20"/>
                <w:szCs w:val="20"/>
                <w:color w:val="auto"/>
              </w:rPr>
            </w:pPr>
            <w:r>
              <w:rPr>
                <w:rFonts w:ascii="Arial" w:cs="Arial" w:eastAsia="Arial" w:hAnsi="Arial"/>
                <w:sz w:val="13"/>
                <w:szCs w:val="13"/>
                <w:color w:val="auto"/>
              </w:rPr>
              <w:t>$</w:t>
            </w:r>
          </w:p>
        </w:tc>
        <w:tc>
          <w:tcPr>
            <w:tcW w:w="60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7,714</w:t>
            </w:r>
          </w:p>
        </w:tc>
        <w:tc>
          <w:tcPr>
            <w:tcW w:w="0" w:type="dxa"/>
            <w:vAlign w:val="bottom"/>
          </w:tcPr>
          <w:p>
            <w:pPr>
              <w:spacing w:after="0"/>
              <w:rPr>
                <w:sz w:val="1"/>
                <w:szCs w:val="1"/>
                <w:color w:val="auto"/>
              </w:rPr>
            </w:pPr>
          </w:p>
        </w:tc>
      </w:tr>
      <w:tr>
        <w:trPr>
          <w:trHeight w:val="144"/>
        </w:trPr>
        <w:tc>
          <w:tcPr>
            <w:tcW w:w="626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Available-for-sale securities</w:t>
            </w:r>
          </w:p>
        </w:tc>
        <w:tc>
          <w:tcPr>
            <w:tcW w:w="80" w:type="dxa"/>
            <w:vAlign w:val="bottom"/>
            <w:shd w:val="clear" w:color="auto" w:fill="CCEEFF"/>
          </w:tcPr>
          <w:p>
            <w:pPr>
              <w:spacing w:after="0"/>
              <w:rPr>
                <w:sz w:val="12"/>
                <w:szCs w:val="12"/>
                <w:color w:val="auto"/>
              </w:rPr>
            </w:pPr>
          </w:p>
        </w:tc>
        <w:tc>
          <w:tcPr>
            <w:tcW w:w="500" w:type="dxa"/>
            <w:vAlign w:val="bottom"/>
            <w:gridSpan w:val="2"/>
            <w:shd w:val="clear" w:color="auto" w:fill="CCEEFF"/>
          </w:tcPr>
          <w:p>
            <w:pPr>
              <w:ind w:left="120"/>
              <w:spacing w:after="0" w:line="144" w:lineRule="exact"/>
              <w:rPr>
                <w:sz w:val="20"/>
                <w:szCs w:val="20"/>
                <w:color w:val="auto"/>
              </w:rPr>
            </w:pPr>
            <w:r>
              <w:rPr>
                <w:rFonts w:ascii="Arial" w:cs="Arial" w:eastAsia="Arial" w:hAnsi="Arial"/>
                <w:sz w:val="13"/>
                <w:szCs w:val="13"/>
                <w:color w:val="auto"/>
                <w:w w:val="90"/>
              </w:rPr>
              <w:t>27,630</w:t>
            </w: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4,233</w:t>
            </w:r>
          </w:p>
        </w:tc>
        <w:tc>
          <w:tcPr>
            <w:tcW w:w="260" w:type="dxa"/>
            <w:vAlign w:val="bottom"/>
            <w:shd w:val="clear" w:color="auto" w:fill="CCEEFF"/>
          </w:tcPr>
          <w:p>
            <w:pPr>
              <w:spacing w:after="0"/>
              <w:rPr>
                <w:sz w:val="12"/>
                <w:szCs w:val="12"/>
                <w:color w:val="auto"/>
              </w:rPr>
            </w:pPr>
          </w:p>
        </w:tc>
        <w:tc>
          <w:tcPr>
            <w:tcW w:w="440" w:type="dxa"/>
            <w:vAlign w:val="bottom"/>
            <w:gridSpan w:val="2"/>
            <w:shd w:val="clear" w:color="auto" w:fill="CCEEFF"/>
          </w:tcPr>
          <w:p>
            <w:pPr>
              <w:ind w:lef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31,863</w:t>
            </w:r>
          </w:p>
        </w:tc>
        <w:tc>
          <w:tcPr>
            <w:tcW w:w="0" w:type="dxa"/>
            <w:vAlign w:val="bottom"/>
          </w:tcPr>
          <w:p>
            <w:pPr>
              <w:spacing w:after="0"/>
              <w:rPr>
                <w:sz w:val="1"/>
                <w:szCs w:val="1"/>
                <w:color w:val="auto"/>
              </w:rPr>
            </w:pPr>
          </w:p>
        </w:tc>
      </w:tr>
      <w:tr>
        <w:trPr>
          <w:trHeight w:val="168"/>
        </w:trPr>
        <w:tc>
          <w:tcPr>
            <w:tcW w:w="6260" w:type="dxa"/>
            <w:vAlign w:val="bottom"/>
          </w:tcPr>
          <w:p>
            <w:pPr>
              <w:ind w:left="220"/>
              <w:spacing w:after="0"/>
              <w:rPr>
                <w:sz w:val="20"/>
                <w:szCs w:val="20"/>
                <w:color w:val="auto"/>
              </w:rPr>
            </w:pPr>
            <w:r>
              <w:rPr>
                <w:rFonts w:ascii="Arial" w:cs="Arial" w:eastAsia="Arial" w:hAnsi="Arial"/>
                <w:sz w:val="13"/>
                <w:szCs w:val="13"/>
                <w:color w:val="auto"/>
              </w:rPr>
              <w:t>Fair value of derivative financial instruments</w:t>
            </w:r>
          </w:p>
        </w:tc>
        <w:tc>
          <w:tcPr>
            <w:tcW w:w="80" w:type="dxa"/>
            <w:vAlign w:val="bottom"/>
          </w:tcPr>
          <w:p>
            <w:pPr>
              <w:spacing w:after="0"/>
              <w:rPr>
                <w:sz w:val="14"/>
                <w:szCs w:val="14"/>
                <w:color w:val="auto"/>
              </w:rPr>
            </w:pPr>
          </w:p>
        </w:tc>
        <w:tc>
          <w:tcPr>
            <w:tcW w:w="640" w:type="dxa"/>
            <w:vAlign w:val="bottom"/>
            <w:gridSpan w:val="3"/>
          </w:tcPr>
          <w:p>
            <w:pPr>
              <w:ind w:left="3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3"/>
                <w:szCs w:val="13"/>
                <w:color w:val="auto"/>
              </w:rPr>
              <w:t>87</w:t>
            </w:r>
          </w:p>
        </w:tc>
        <w:tc>
          <w:tcPr>
            <w:tcW w:w="260" w:type="dxa"/>
            <w:vAlign w:val="bottom"/>
          </w:tcPr>
          <w:p>
            <w:pPr>
              <w:spacing w:after="0"/>
              <w:rPr>
                <w:sz w:val="14"/>
                <w:szCs w:val="14"/>
                <w:color w:val="auto"/>
              </w:rPr>
            </w:pPr>
          </w:p>
        </w:tc>
        <w:tc>
          <w:tcPr>
            <w:tcW w:w="440" w:type="dxa"/>
            <w:vAlign w:val="bottom"/>
            <w:gridSpan w:val="2"/>
          </w:tcPr>
          <w:p>
            <w:pPr>
              <w:ind w:left="1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3"/>
                <w:szCs w:val="13"/>
                <w:color w:val="auto"/>
              </w:rPr>
              <w:t>87</w:t>
            </w:r>
          </w:p>
        </w:tc>
        <w:tc>
          <w:tcPr>
            <w:tcW w:w="0" w:type="dxa"/>
            <w:vAlign w:val="bottom"/>
          </w:tcPr>
          <w:p>
            <w:pPr>
              <w:spacing w:after="0"/>
              <w:rPr>
                <w:sz w:val="1"/>
                <w:szCs w:val="1"/>
                <w:color w:val="auto"/>
              </w:rPr>
            </w:pPr>
          </w:p>
        </w:tc>
      </w:tr>
      <w:tr>
        <w:trPr>
          <w:trHeight w:val="20"/>
        </w:trPr>
        <w:tc>
          <w:tcPr>
            <w:tcW w:w="62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6260" w:type="dxa"/>
            <w:vAlign w:val="bottom"/>
            <w:shd w:val="clear" w:color="auto" w:fill="CCEEFF"/>
          </w:tcPr>
          <w:p>
            <w:pPr>
              <w:ind w:left="220"/>
              <w:spacing w:after="0" w:line="140" w:lineRule="exact"/>
              <w:rPr>
                <w:sz w:val="20"/>
                <w:szCs w:val="20"/>
                <w:color w:val="auto"/>
              </w:rPr>
            </w:pPr>
            <w:r>
              <w:rPr>
                <w:rFonts w:ascii="Arial" w:cs="Arial" w:eastAsia="Arial" w:hAnsi="Arial"/>
                <w:sz w:val="13"/>
                <w:szCs w:val="13"/>
                <w:color w:val="auto"/>
              </w:rPr>
              <w:t>Total financial assets</w:t>
            </w:r>
          </w:p>
        </w:tc>
        <w:tc>
          <w:tcPr>
            <w:tcW w:w="8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480" w:type="dxa"/>
            <w:vAlign w:val="bottom"/>
            <w:shd w:val="clear" w:color="auto" w:fill="CCEEFF"/>
          </w:tcPr>
          <w:p>
            <w:pPr>
              <w:ind w:left="120"/>
              <w:spacing w:after="0" w:line="140" w:lineRule="exact"/>
              <w:rPr>
                <w:sz w:val="20"/>
                <w:szCs w:val="20"/>
                <w:color w:val="auto"/>
              </w:rPr>
            </w:pPr>
            <w:r>
              <w:rPr>
                <w:rFonts w:ascii="Arial" w:cs="Arial" w:eastAsia="Arial" w:hAnsi="Arial"/>
                <w:sz w:val="13"/>
                <w:szCs w:val="13"/>
                <w:color w:val="auto"/>
                <w:w w:val="85"/>
              </w:rPr>
              <w:t>27,630</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12,034</w:t>
            </w:r>
          </w:p>
        </w:tc>
        <w:tc>
          <w:tcPr>
            <w:tcW w:w="260" w:type="dxa"/>
            <w:vAlign w:val="bottom"/>
            <w:shd w:val="clear" w:color="auto" w:fill="CCEEFF"/>
          </w:tcPr>
          <w:p>
            <w:pPr>
              <w:jc w:val="right"/>
              <w:ind w:right="114"/>
              <w:spacing w:after="0" w:line="140" w:lineRule="exact"/>
              <w:rPr>
                <w:sz w:val="20"/>
                <w:szCs w:val="20"/>
                <w:color w:val="auto"/>
              </w:rPr>
            </w:pPr>
            <w:r>
              <w:rPr>
                <w:rFonts w:ascii="Arial" w:cs="Arial" w:eastAsia="Arial" w:hAnsi="Arial"/>
                <w:sz w:val="13"/>
                <w:szCs w:val="13"/>
                <w:color w:val="auto"/>
                <w:w w:val="82"/>
              </w:rPr>
              <w:t>$</w:t>
            </w:r>
          </w:p>
        </w:tc>
        <w:tc>
          <w:tcPr>
            <w:tcW w:w="440" w:type="dxa"/>
            <w:vAlign w:val="bottom"/>
            <w:gridSpan w:val="2"/>
            <w:shd w:val="clear" w:color="auto" w:fill="CCEEFF"/>
          </w:tcPr>
          <w:p>
            <w:pPr>
              <w:ind w:left="160"/>
              <w:spacing w:after="0" w:line="140"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jc w:val="right"/>
              <w:spacing w:after="0" w:line="140" w:lineRule="exact"/>
              <w:rPr>
                <w:sz w:val="20"/>
                <w:szCs w:val="20"/>
                <w:color w:val="auto"/>
              </w:rPr>
            </w:pPr>
            <w:r>
              <w:rPr>
                <w:rFonts w:ascii="Arial" w:cs="Arial" w:eastAsia="Arial" w:hAnsi="Arial"/>
                <w:sz w:val="13"/>
                <w:szCs w:val="13"/>
                <w:color w:val="auto"/>
              </w:rPr>
              <w:t>$</w:t>
            </w:r>
          </w:p>
        </w:tc>
        <w:tc>
          <w:tcPr>
            <w:tcW w:w="60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39,664</w:t>
            </w:r>
          </w:p>
        </w:tc>
        <w:tc>
          <w:tcPr>
            <w:tcW w:w="0" w:type="dxa"/>
            <w:vAlign w:val="bottom"/>
          </w:tcPr>
          <w:p>
            <w:pPr>
              <w:spacing w:after="0"/>
              <w:rPr>
                <w:sz w:val="1"/>
                <w:szCs w:val="1"/>
                <w:color w:val="auto"/>
              </w:rPr>
            </w:pPr>
          </w:p>
        </w:tc>
      </w:tr>
      <w:tr>
        <w:trPr>
          <w:trHeight w:val="26"/>
        </w:trPr>
        <w:tc>
          <w:tcPr>
            <w:tcW w:w="6260" w:type="dxa"/>
            <w:vAlign w:val="bottom"/>
            <w:vMerge w:val="restart"/>
          </w:tcPr>
          <w:p>
            <w:pPr>
              <w:ind w:left="220"/>
              <w:spacing w:after="0"/>
              <w:rPr>
                <w:sz w:val="20"/>
                <w:szCs w:val="20"/>
                <w:color w:val="auto"/>
              </w:rPr>
            </w:pPr>
            <w:r>
              <w:rPr>
                <w:rFonts w:ascii="Arial" w:cs="Arial" w:eastAsia="Arial" w:hAnsi="Arial"/>
                <w:sz w:val="13"/>
                <w:szCs w:val="13"/>
                <w:b w:val="1"/>
                <w:bCs w:val="1"/>
                <w:color w:val="auto"/>
              </w:rPr>
              <w:t>Financial liabilities:</w:t>
            </w:r>
          </w:p>
        </w:tc>
        <w:tc>
          <w:tcPr>
            <w:tcW w:w="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260" w:type="dxa"/>
            <w:vAlign w:val="bottom"/>
            <w:vMerge w:val="continue"/>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4"/>
        </w:trPr>
        <w:tc>
          <w:tcPr>
            <w:tcW w:w="6260" w:type="dxa"/>
            <w:vAlign w:val="bottom"/>
            <w:vMerge w:val="continue"/>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626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Fair value of derivative financial instruments</w:t>
            </w:r>
          </w:p>
        </w:tc>
        <w:tc>
          <w:tcPr>
            <w:tcW w:w="8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3"/>
            <w:shd w:val="clear" w:color="auto" w:fill="CCEEFF"/>
          </w:tcPr>
          <w:p>
            <w:pPr>
              <w:ind w:left="3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8,073</w:t>
            </w:r>
          </w:p>
        </w:tc>
        <w:tc>
          <w:tcPr>
            <w:tcW w:w="260" w:type="dxa"/>
            <w:vAlign w:val="bottom"/>
            <w:shd w:val="clear" w:color="auto" w:fill="CCEEFF"/>
          </w:tcPr>
          <w:p>
            <w:pPr>
              <w:jc w:val="right"/>
              <w:ind w:right="114"/>
              <w:spacing w:after="0" w:line="144" w:lineRule="exact"/>
              <w:rPr>
                <w:sz w:val="20"/>
                <w:szCs w:val="20"/>
                <w:color w:val="auto"/>
              </w:rPr>
            </w:pPr>
            <w:r>
              <w:rPr>
                <w:rFonts w:ascii="Arial" w:cs="Arial" w:eastAsia="Arial" w:hAnsi="Arial"/>
                <w:sz w:val="13"/>
                <w:szCs w:val="13"/>
                <w:color w:val="auto"/>
                <w:w w:val="82"/>
              </w:rPr>
              <w:t>$</w:t>
            </w:r>
          </w:p>
        </w:tc>
        <w:tc>
          <w:tcPr>
            <w:tcW w:w="440" w:type="dxa"/>
            <w:vAlign w:val="bottom"/>
            <w:gridSpan w:val="2"/>
            <w:shd w:val="clear" w:color="auto" w:fill="CCEEFF"/>
          </w:tcPr>
          <w:p>
            <w:pPr>
              <w:ind w:left="160"/>
              <w:spacing w:after="0" w:line="144"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jc w:val="right"/>
              <w:spacing w:after="0" w:line="144" w:lineRule="exact"/>
              <w:rPr>
                <w:sz w:val="20"/>
                <w:szCs w:val="20"/>
                <w:color w:val="auto"/>
              </w:rPr>
            </w:pPr>
            <w:r>
              <w:rPr>
                <w:rFonts w:ascii="Arial" w:cs="Arial" w:eastAsia="Arial" w:hAnsi="Arial"/>
                <w:sz w:val="13"/>
                <w:szCs w:val="13"/>
                <w:color w:val="auto"/>
              </w:rPr>
              <w:t>$</w:t>
            </w:r>
          </w:p>
        </w:tc>
        <w:tc>
          <w:tcPr>
            <w:tcW w:w="60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8,073</w:t>
            </w:r>
          </w:p>
        </w:tc>
        <w:tc>
          <w:tcPr>
            <w:tcW w:w="0" w:type="dxa"/>
            <w:vAlign w:val="bottom"/>
          </w:tcPr>
          <w:p>
            <w:pPr>
              <w:spacing w:after="0"/>
              <w:rPr>
                <w:sz w:val="1"/>
                <w:szCs w:val="1"/>
                <w:color w:val="auto"/>
              </w:rPr>
            </w:pPr>
          </w:p>
        </w:tc>
      </w:tr>
      <w:tr>
        <w:trPr>
          <w:trHeight w:val="26"/>
        </w:trPr>
        <w:tc>
          <w:tcPr>
            <w:tcW w:w="6260" w:type="dxa"/>
            <w:vAlign w:val="bottom"/>
            <w:vMerge w:val="restart"/>
          </w:tcPr>
          <w:p>
            <w:pPr>
              <w:ind w:left="220"/>
              <w:spacing w:after="0"/>
              <w:rPr>
                <w:sz w:val="20"/>
                <w:szCs w:val="20"/>
                <w:color w:val="auto"/>
              </w:rPr>
            </w:pPr>
            <w:r>
              <w:rPr>
                <w:rFonts w:ascii="Arial" w:cs="Arial" w:eastAsia="Arial" w:hAnsi="Arial"/>
                <w:sz w:val="13"/>
                <w:szCs w:val="13"/>
                <w:color w:val="auto"/>
              </w:rPr>
              <w:t>Total financial liabilities</w:t>
            </w:r>
          </w:p>
        </w:tc>
        <w:tc>
          <w:tcPr>
            <w:tcW w:w="80" w:type="dxa"/>
            <w:vAlign w:val="bottom"/>
          </w:tcPr>
          <w:p>
            <w:pPr>
              <w:spacing w:after="0"/>
              <w:rPr>
                <w:sz w:val="2"/>
                <w:szCs w:val="2"/>
                <w:color w:val="auto"/>
              </w:rPr>
            </w:pPr>
          </w:p>
        </w:tc>
        <w:tc>
          <w:tcPr>
            <w:tcW w:w="5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260" w:type="dxa"/>
            <w:vAlign w:val="bottom"/>
          </w:tcPr>
          <w:p>
            <w:pPr>
              <w:spacing w:after="0"/>
              <w:rPr>
                <w:sz w:val="2"/>
                <w:szCs w:val="2"/>
                <w:color w:val="auto"/>
              </w:rPr>
            </w:pPr>
          </w:p>
        </w:tc>
        <w:tc>
          <w:tcPr>
            <w:tcW w:w="44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6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6260" w:type="dxa"/>
            <w:vAlign w:val="bottom"/>
            <w:vMerge w:val="continue"/>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480" w:type="dxa"/>
            <w:vAlign w:val="bottom"/>
            <w:tcBorders>
              <w:top w:val="single" w:sz="8" w:color="auto"/>
              <w:bottom w:val="single" w:sz="8" w:color="auto"/>
            </w:tcBorders>
          </w:tcPr>
          <w:p>
            <w:pPr>
              <w:ind w:left="360"/>
              <w:spacing w:after="0"/>
              <w:rPr>
                <w:sz w:val="20"/>
                <w:szCs w:val="20"/>
                <w:color w:val="auto"/>
              </w:rPr>
            </w:pPr>
            <w:r>
              <w:rPr>
                <w:rFonts w:ascii="Arial" w:cs="Arial" w:eastAsia="Arial" w:hAnsi="Arial"/>
                <w:sz w:val="13"/>
                <w:szCs w:val="13"/>
                <w:color w:val="auto"/>
                <w:w w:val="76"/>
              </w:rPr>
              <w:t>—</w:t>
            </w:r>
          </w:p>
        </w:tc>
        <w:tc>
          <w:tcPr>
            <w:tcW w:w="2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8,073</w:t>
            </w:r>
          </w:p>
        </w:tc>
        <w:tc>
          <w:tcPr>
            <w:tcW w:w="160" w:type="dxa"/>
            <w:vAlign w:val="bottom"/>
          </w:tcPr>
          <w:p>
            <w:pPr>
              <w:spacing w:after="0"/>
              <w:rPr>
                <w:sz w:val="13"/>
                <w:szCs w:val="13"/>
                <w:color w:val="auto"/>
              </w:rPr>
            </w:pPr>
          </w:p>
        </w:tc>
        <w:tc>
          <w:tcPr>
            <w:tcW w:w="260" w:type="dxa"/>
            <w:vAlign w:val="bottom"/>
            <w:tcBorders>
              <w:top w:val="single" w:sz="8" w:color="auto"/>
              <w:bottom w:val="single" w:sz="8" w:color="auto"/>
            </w:tcBorders>
          </w:tcPr>
          <w:p>
            <w:pPr>
              <w:jc w:val="right"/>
              <w:ind w:right="114"/>
              <w:spacing w:after="0"/>
              <w:rPr>
                <w:sz w:val="20"/>
                <w:szCs w:val="20"/>
                <w:color w:val="auto"/>
              </w:rPr>
            </w:pPr>
            <w:r>
              <w:rPr>
                <w:rFonts w:ascii="Arial" w:cs="Arial" w:eastAsia="Arial" w:hAnsi="Arial"/>
                <w:sz w:val="13"/>
                <w:szCs w:val="13"/>
                <w:color w:val="auto"/>
                <w:w w:val="82"/>
              </w:rPr>
              <w:t>$</w:t>
            </w:r>
          </w:p>
        </w:tc>
        <w:tc>
          <w:tcPr>
            <w:tcW w:w="300" w:type="dxa"/>
            <w:vAlign w:val="bottom"/>
            <w:tcBorders>
              <w:top w:val="single" w:sz="8" w:color="auto"/>
              <w:bottom w:val="single" w:sz="8" w:color="auto"/>
            </w:tcBorders>
          </w:tcPr>
          <w:p>
            <w:pPr>
              <w:ind w:left="160"/>
              <w:spacing w:after="0"/>
              <w:rPr>
                <w:sz w:val="20"/>
                <w:szCs w:val="20"/>
                <w:color w:val="auto"/>
              </w:rPr>
            </w:pPr>
            <w:r>
              <w:rPr>
                <w:rFonts w:ascii="Arial" w:cs="Arial" w:eastAsia="Arial" w:hAnsi="Arial"/>
                <w:sz w:val="13"/>
                <w:szCs w:val="13"/>
                <w:color w:val="auto"/>
                <w:w w:val="91"/>
              </w:rPr>
              <w:t>—</w:t>
            </w:r>
          </w:p>
        </w:tc>
        <w:tc>
          <w:tcPr>
            <w:tcW w:w="14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8,073</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62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7" w:lineRule="exact"/>
        <w:rPr>
          <w:sz w:val="20"/>
          <w:szCs w:val="20"/>
          <w:color w:val="auto"/>
        </w:rPr>
      </w:pPr>
    </w:p>
    <w:p>
      <w:pPr>
        <w:ind w:left="520"/>
        <w:spacing w:after="0"/>
        <w:rPr>
          <w:sz w:val="20"/>
          <w:szCs w:val="20"/>
          <w:color w:val="auto"/>
        </w:rPr>
      </w:pPr>
      <w:r>
        <w:rPr>
          <w:rFonts w:ascii="Arial" w:cs="Arial" w:eastAsia="Arial" w:hAnsi="Arial"/>
          <w:sz w:val="13"/>
          <w:szCs w:val="13"/>
          <w:b w:val="1"/>
          <w:bCs w:val="1"/>
          <w:color w:val="auto"/>
        </w:rPr>
        <w:t>Valuation Techniques</w:t>
      </w:r>
    </w:p>
    <w:p>
      <w:pPr>
        <w:spacing w:after="0" w:line="208"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Trade Receivables</w:t>
      </w:r>
    </w:p>
    <w:p>
      <w:pPr>
        <w:spacing w:after="0" w:line="204"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Trade receivables from provisional invoices for concentrate sales are valued using quoted forward rates derived from observable market data based on the month of expected settlement (classified within Level 2 of the fair value hierarchy).</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Available-for-sale Securities</w:t>
      </w:r>
    </w:p>
    <w:p>
      <w:pPr>
        <w:spacing w:after="0" w:line="204"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Available-for-sale securities representing shares of publicly traded entities are recorded at fair value using quoted market prices (classified within Level 1 of the fair value hierarchy). Available-for-sale securities representing shares of non-publicly traded entities are recorded at fair value using external broker-dealer quotations corroborated by option pricing models (classified within Level 2 of the fair value hierarchy).</w:t>
      </w:r>
    </w:p>
    <w:p>
      <w:pPr>
        <w:spacing w:after="0" w:line="188"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Derivative Financial Instruments</w:t>
      </w:r>
    </w:p>
    <w:p>
      <w:pPr>
        <w:spacing w:after="0" w:line="204" w:lineRule="exact"/>
        <w:rPr>
          <w:sz w:val="20"/>
          <w:szCs w:val="20"/>
          <w:color w:val="auto"/>
        </w:rPr>
      </w:pPr>
    </w:p>
    <w:p>
      <w:pPr>
        <w:jc w:val="both"/>
        <w:ind w:left="520"/>
        <w:spacing w:after="0" w:line="297" w:lineRule="auto"/>
        <w:rPr>
          <w:sz w:val="20"/>
          <w:szCs w:val="20"/>
          <w:color w:val="auto"/>
        </w:rPr>
      </w:pPr>
      <w:r>
        <w:rPr>
          <w:rFonts w:ascii="Arial" w:cs="Arial" w:eastAsia="Arial" w:hAnsi="Arial"/>
          <w:sz w:val="12"/>
          <w:szCs w:val="12"/>
          <w:color w:val="auto"/>
        </w:rPr>
        <w:t>Derivative financial instruments classified within Level 2 of the fair value hierarchy are recorded at fair value using external broker-dealer quotations corroborated by option pricing models or option pricing models that utilize a variety of inputs that are a combination of quoted prices and market-corroborated inputs. Derivative financial instruments are classified as fair value through profit and loss.</w:t>
      </w:r>
    </w:p>
    <w:p>
      <w:pPr>
        <w:spacing w:after="0" w:line="15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6" w:name="page37"/>
    <w:bookmarkEnd w:id="36"/>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March 31, 2016</w:t>
      </w:r>
    </w:p>
    <w:p>
      <w:pPr>
        <w:spacing w:after="0" w:line="214" w:lineRule="exact"/>
        <w:rPr>
          <w:sz w:val="20"/>
          <w:szCs w:val="20"/>
          <w:color w:val="auto"/>
        </w:rPr>
      </w:pPr>
    </w:p>
    <w:p>
      <w:pPr>
        <w:ind w:left="260" w:hanging="255"/>
        <w:spacing w:after="0"/>
        <w:tabs>
          <w:tab w:leader="none" w:pos="260" w:val="left"/>
        </w:tabs>
        <w:numPr>
          <w:ilvl w:val="0"/>
          <w:numId w:val="14"/>
        </w:numPr>
        <w:rPr>
          <w:rFonts w:ascii="Arial" w:cs="Arial" w:eastAsia="Arial" w:hAnsi="Arial"/>
          <w:sz w:val="13"/>
          <w:szCs w:val="13"/>
          <w:b w:val="1"/>
          <w:bCs w:val="1"/>
          <w:color w:val="auto"/>
        </w:rPr>
      </w:pPr>
      <w:r>
        <w:rPr>
          <w:rFonts w:ascii="Arial" w:cs="Arial" w:eastAsia="Arial" w:hAnsi="Arial"/>
          <w:sz w:val="13"/>
          <w:szCs w:val="13"/>
          <w:b w:val="1"/>
          <w:bCs w:val="1"/>
          <w:color w:val="auto"/>
        </w:rPr>
        <w:t>INVENTORIES</w:t>
      </w:r>
    </w:p>
    <w:p>
      <w:pPr>
        <w:spacing w:after="0" w:line="208"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During the three months ended March 31, 2016, impairment losses of $3.1 million (three months ended March 31, 2015 — nil) were recorded within production costs to reduce the carrying value of inventories to their net realizable value.</w:t>
      </w:r>
    </w:p>
    <w:p>
      <w:pPr>
        <w:spacing w:after="0" w:line="175" w:lineRule="exact"/>
        <w:rPr>
          <w:sz w:val="20"/>
          <w:szCs w:val="20"/>
          <w:color w:val="auto"/>
        </w:rPr>
      </w:pPr>
    </w:p>
    <w:p>
      <w:pPr>
        <w:ind w:left="260" w:hanging="255"/>
        <w:spacing w:after="0"/>
        <w:tabs>
          <w:tab w:leader="none" w:pos="260" w:val="left"/>
        </w:tabs>
        <w:numPr>
          <w:ilvl w:val="0"/>
          <w:numId w:val="15"/>
        </w:numPr>
        <w:rPr>
          <w:rFonts w:ascii="Arial" w:cs="Arial" w:eastAsia="Arial" w:hAnsi="Arial"/>
          <w:sz w:val="13"/>
          <w:szCs w:val="13"/>
          <w:b w:val="1"/>
          <w:bCs w:val="1"/>
          <w:color w:val="auto"/>
        </w:rPr>
      </w:pPr>
      <w:r>
        <w:rPr>
          <w:rFonts w:ascii="Arial" w:cs="Arial" w:eastAsia="Arial" w:hAnsi="Arial"/>
          <w:sz w:val="13"/>
          <w:szCs w:val="13"/>
          <w:b w:val="1"/>
          <w:bCs w:val="1"/>
          <w:color w:val="auto"/>
        </w:rPr>
        <w:t>AVAILABLE-FOR-SALE SECURITIES</w:t>
      </w:r>
    </w:p>
    <w:p>
      <w:pPr>
        <w:spacing w:after="0" w:line="208" w:lineRule="exact"/>
        <w:rPr>
          <w:sz w:val="20"/>
          <w:szCs w:val="20"/>
          <w:color w:val="auto"/>
        </w:rPr>
      </w:pPr>
    </w:p>
    <w:p>
      <w:pPr>
        <w:ind w:left="520"/>
        <w:spacing w:after="0"/>
        <w:rPr>
          <w:sz w:val="20"/>
          <w:szCs w:val="20"/>
          <w:color w:val="auto"/>
        </w:rPr>
      </w:pPr>
      <w:r>
        <w:rPr>
          <w:rFonts w:ascii="Arial" w:cs="Arial" w:eastAsia="Arial" w:hAnsi="Arial"/>
          <w:sz w:val="13"/>
          <w:szCs w:val="13"/>
          <w:color w:val="auto"/>
        </w:rPr>
        <w:t>During the three months ended March 31, 2016, the Company purchased certain available-for-sale securities totaling $5.4 million (three months ended March 31, 2015 — $5.3 million).</w:t>
      </w:r>
    </w:p>
    <w:p>
      <w:pPr>
        <w:spacing w:after="0" w:line="204"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During the three months ended March 31, 2016, the Company received net proceeds of $0.3 million (three months ended March 31, 2015 — $31.0 million) and recognized a gain before income taxes of $0.1 million (three months ended March 31, 2015 — $21.0 million) on the sale of certain available-for-sale securities.</w:t>
      </w:r>
    </w:p>
    <w:p>
      <w:pPr>
        <w:spacing w:after="0" w:line="179"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During the three months ended March 31, 2016, the Company recorded an impairment loss of nil (three months ended March 31, 2015 — $0.7 million) on certain available-for-sale securities that were determined to have an impairment that was significant or prolonged.</w:t>
      </w:r>
    </w:p>
    <w:p>
      <w:pPr>
        <w:spacing w:after="0" w:line="175" w:lineRule="exact"/>
        <w:rPr>
          <w:sz w:val="20"/>
          <w:szCs w:val="20"/>
          <w:color w:val="auto"/>
        </w:rPr>
      </w:pPr>
    </w:p>
    <w:p>
      <w:pPr>
        <w:ind w:left="260" w:hanging="255"/>
        <w:spacing w:after="0"/>
        <w:tabs>
          <w:tab w:leader="none" w:pos="260" w:val="left"/>
        </w:tabs>
        <w:numPr>
          <w:ilvl w:val="0"/>
          <w:numId w:val="16"/>
        </w:numPr>
        <w:rPr>
          <w:rFonts w:ascii="Arial" w:cs="Arial" w:eastAsia="Arial" w:hAnsi="Arial"/>
          <w:sz w:val="13"/>
          <w:szCs w:val="13"/>
          <w:b w:val="1"/>
          <w:bCs w:val="1"/>
          <w:color w:val="auto"/>
        </w:rPr>
      </w:pPr>
      <w:r>
        <w:rPr>
          <w:rFonts w:ascii="Arial" w:cs="Arial" w:eastAsia="Arial" w:hAnsi="Arial"/>
          <w:sz w:val="13"/>
          <w:szCs w:val="13"/>
          <w:b w:val="1"/>
          <w:bCs w:val="1"/>
          <w:color w:val="auto"/>
        </w:rPr>
        <w:t>PROPERTY, PLANT AND MINE DEVELOPMENT</w:t>
      </w:r>
    </w:p>
    <w:p>
      <w:pPr>
        <w:spacing w:after="0" w:line="208" w:lineRule="exact"/>
        <w:rPr>
          <w:sz w:val="20"/>
          <w:szCs w:val="20"/>
          <w:color w:val="auto"/>
        </w:rPr>
      </w:pPr>
    </w:p>
    <w:p>
      <w:pPr>
        <w:ind w:left="520"/>
        <w:spacing w:after="0"/>
        <w:rPr>
          <w:sz w:val="20"/>
          <w:szCs w:val="20"/>
          <w:color w:val="auto"/>
        </w:rPr>
      </w:pPr>
      <w:r>
        <w:rPr>
          <w:rFonts w:ascii="Arial" w:cs="Arial" w:eastAsia="Arial" w:hAnsi="Arial"/>
          <w:sz w:val="13"/>
          <w:szCs w:val="13"/>
          <w:color w:val="auto"/>
        </w:rPr>
        <w:t>During the three months ended March 31, 2016, $128.5 million of additions (year ended December 31, 2015 — $561.4 million) were capitalized to property, plant and mine development.</w:t>
      </w:r>
    </w:p>
    <w:p>
      <w:pPr>
        <w:spacing w:after="0" w:line="204"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Total borrowing costs capitalized to property, plant and mine development during the three months ended March 31, 2016 were approximately $0.5 million (year ended December 31, 2015 — $1.7 million) at a capitalization rate of 1.21% (year ended December 31, 2015 — 1.25%).</w:t>
      </w:r>
    </w:p>
    <w:p>
      <w:pPr>
        <w:spacing w:after="0" w:line="179"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Assets with a net book value of $1.3 million were disposed of by the Company during the three months ended March 31, 2016 (year ended December 31, 2015 — $8.1 million), resulting in a net loss on disposal of $1.1 million (year ended December 31, 2015 — $1.9 million).</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3"/>
          <w:szCs w:val="13"/>
          <w:color w:val="auto"/>
        </w:rPr>
        <w:t>See note 14 to these condensed interim consolidated financial statements for capital commitments.</w:t>
      </w:r>
    </w:p>
    <w:p>
      <w:pPr>
        <w:spacing w:after="0" w:line="200" w:lineRule="exact"/>
        <w:rPr>
          <w:sz w:val="20"/>
          <w:szCs w:val="20"/>
          <w:color w:val="auto"/>
        </w:rPr>
      </w:pPr>
    </w:p>
    <w:p>
      <w:pPr>
        <w:ind w:left="260" w:hanging="255"/>
        <w:spacing w:after="0"/>
        <w:tabs>
          <w:tab w:leader="none" w:pos="260" w:val="left"/>
        </w:tabs>
        <w:numPr>
          <w:ilvl w:val="0"/>
          <w:numId w:val="17"/>
        </w:numPr>
        <w:rPr>
          <w:rFonts w:ascii="Arial" w:cs="Arial" w:eastAsia="Arial" w:hAnsi="Arial"/>
          <w:sz w:val="13"/>
          <w:szCs w:val="13"/>
          <w:b w:val="1"/>
          <w:bCs w:val="1"/>
          <w:color w:val="auto"/>
        </w:rPr>
      </w:pPr>
      <w:r>
        <w:rPr>
          <w:rFonts w:ascii="Arial" w:cs="Arial" w:eastAsia="Arial" w:hAnsi="Arial"/>
          <w:sz w:val="13"/>
          <w:szCs w:val="13"/>
          <w:b w:val="1"/>
          <w:bCs w:val="1"/>
          <w:color w:val="auto"/>
        </w:rPr>
        <w:t>LONG-TERM DEBT</w:t>
      </w:r>
    </w:p>
    <w:p>
      <w:pPr>
        <w:spacing w:after="0" w:line="208"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On September 30, 2015, the Company amended its $1.2 billion Credit Facility, extending the maturity date from June 22, 2019 to June 22, 2020 and amending pricing terms. At March 31, 2016, the Credit Facility was drawn down by $210.0 million (December 31, 2015 — $265.0 million). Amounts drawn down, together with outstanding letters of credit under the Credit Facility, resulted in Credit Facility availability of $989.0 million at March 31, 2016. During the three months ended March 31, 2016, Credit Facility drawdowns totaled $75.0 million and repayments totaled $130.0 million. During the three months ended March 31, 2015, Credit Facility drawdowns totaled nil and repayments totaled $100.0 million.</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7" w:name="page38"/>
    <w:bookmarkEnd w:id="37"/>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March 31, 2016</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8700" w:type="dxa"/>
            <w:vAlign w:val="bottom"/>
            <w:gridSpan w:val="2"/>
          </w:tcPr>
          <w:p>
            <w:pPr>
              <w:spacing w:after="0"/>
              <w:rPr>
                <w:sz w:val="20"/>
                <w:szCs w:val="20"/>
                <w:color w:val="auto"/>
              </w:rPr>
            </w:pPr>
            <w:r>
              <w:rPr>
                <w:rFonts w:ascii="Arial" w:cs="Arial" w:eastAsia="Arial" w:hAnsi="Arial"/>
                <w:sz w:val="13"/>
                <w:szCs w:val="13"/>
                <w:b w:val="1"/>
                <w:bCs w:val="1"/>
                <w:color w:val="auto"/>
              </w:rPr>
              <w:t>10.  EQUITY</w:t>
            </w:r>
          </w:p>
        </w:tc>
        <w:tc>
          <w:tcPr>
            <w:tcW w:w="1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54"/>
        </w:trPr>
        <w:tc>
          <w:tcPr>
            <w:tcW w:w="8700" w:type="dxa"/>
            <w:vAlign w:val="bottom"/>
            <w:gridSpan w:val="2"/>
          </w:tcPr>
          <w:p>
            <w:pPr>
              <w:ind w:left="520"/>
              <w:spacing w:after="0"/>
              <w:rPr>
                <w:sz w:val="20"/>
                <w:szCs w:val="20"/>
                <w:color w:val="auto"/>
              </w:rPr>
            </w:pPr>
            <w:r>
              <w:rPr>
                <w:rFonts w:ascii="Arial" w:cs="Arial" w:eastAsia="Arial" w:hAnsi="Arial"/>
                <w:sz w:val="13"/>
                <w:szCs w:val="13"/>
                <w:b w:val="1"/>
                <w:bCs w:val="1"/>
                <w:i w:val="1"/>
                <w:iCs w:val="1"/>
                <w:color w:val="auto"/>
              </w:rPr>
              <w:t>Net Income Per Share</w:t>
            </w:r>
          </w:p>
        </w:tc>
        <w:tc>
          <w:tcPr>
            <w:tcW w:w="1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4"/>
        </w:trPr>
        <w:tc>
          <w:tcPr>
            <w:tcW w:w="8700" w:type="dxa"/>
            <w:vAlign w:val="bottom"/>
            <w:gridSpan w:val="2"/>
          </w:tcPr>
          <w:p>
            <w:pPr>
              <w:ind w:left="520"/>
              <w:spacing w:after="0"/>
              <w:rPr>
                <w:sz w:val="20"/>
                <w:szCs w:val="20"/>
                <w:color w:val="auto"/>
              </w:rPr>
            </w:pPr>
            <w:r>
              <w:rPr>
                <w:rFonts w:ascii="Arial" w:cs="Arial" w:eastAsia="Arial" w:hAnsi="Arial"/>
                <w:sz w:val="13"/>
                <w:szCs w:val="13"/>
                <w:color w:val="auto"/>
                <w:w w:val="99"/>
              </w:rPr>
              <w:t>The following table sets out the weighted average number of common shares used in the calculation of basic and diluted net income per share:</w:t>
            </w:r>
          </w:p>
        </w:tc>
        <w:tc>
          <w:tcPr>
            <w:tcW w:w="1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1140" w:type="dxa"/>
            <w:vAlign w:val="bottom"/>
          </w:tcPr>
          <w:p>
            <w:pPr>
              <w:spacing w:after="0"/>
              <w:rPr>
                <w:sz w:val="24"/>
                <w:szCs w:val="24"/>
                <w:color w:val="auto"/>
              </w:rPr>
            </w:pPr>
          </w:p>
        </w:tc>
        <w:tc>
          <w:tcPr>
            <w:tcW w:w="75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20" w:type="dxa"/>
            <w:vAlign w:val="bottom"/>
            <w:gridSpan w:val="5"/>
          </w:tcPr>
          <w:p>
            <w:pPr>
              <w:jc w:val="center"/>
              <w:ind w:right="280"/>
              <w:spacing w:after="0"/>
              <w:rPr>
                <w:sz w:val="20"/>
                <w:szCs w:val="20"/>
                <w:color w:val="auto"/>
              </w:rPr>
            </w:pPr>
            <w:r>
              <w:rPr>
                <w:rFonts w:ascii="Arial" w:cs="Arial" w:eastAsia="Arial" w:hAnsi="Arial"/>
                <w:sz w:val="13"/>
                <w:szCs w:val="13"/>
                <w:b w:val="1"/>
                <w:bCs w:val="1"/>
                <w:color w:val="auto"/>
                <w:w w:val="91"/>
              </w:rPr>
              <w:t>Three Months</w:t>
            </w: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75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0" w:type="dxa"/>
            <w:vAlign w:val="bottom"/>
            <w:gridSpan w:val="3"/>
          </w:tcPr>
          <w:p>
            <w:pPr>
              <w:jc w:val="center"/>
              <w:ind w:left="274"/>
              <w:spacing w:after="0" w:line="144" w:lineRule="exact"/>
              <w:rPr>
                <w:sz w:val="20"/>
                <w:szCs w:val="20"/>
                <w:color w:val="auto"/>
              </w:rPr>
            </w:pPr>
            <w:r>
              <w:rPr>
                <w:rFonts w:ascii="Arial" w:cs="Arial" w:eastAsia="Arial" w:hAnsi="Arial"/>
                <w:sz w:val="13"/>
                <w:szCs w:val="13"/>
                <w:b w:val="1"/>
                <w:bCs w:val="1"/>
                <w:color w:val="auto"/>
                <w:w w:val="95"/>
              </w:rPr>
              <w:t>Ended</w:t>
            </w:r>
          </w:p>
        </w:tc>
        <w:tc>
          <w:tcPr>
            <w:tcW w:w="4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75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20" w:type="dxa"/>
            <w:vAlign w:val="bottom"/>
            <w:gridSpan w:val="5"/>
          </w:tcPr>
          <w:p>
            <w:pPr>
              <w:jc w:val="center"/>
              <w:ind w:right="280"/>
              <w:spacing w:after="0"/>
              <w:rPr>
                <w:sz w:val="20"/>
                <w:szCs w:val="20"/>
                <w:color w:val="auto"/>
              </w:rPr>
            </w:pPr>
            <w:r>
              <w:rPr>
                <w:rFonts w:ascii="Arial" w:cs="Arial" w:eastAsia="Arial" w:hAnsi="Arial"/>
                <w:sz w:val="13"/>
                <w:szCs w:val="13"/>
                <w:b w:val="1"/>
                <w:bCs w:val="1"/>
                <w:color w:val="auto"/>
                <w:w w:val="96"/>
              </w:rPr>
              <w:t>March 31,</w:t>
            </w:r>
          </w:p>
        </w:tc>
        <w:tc>
          <w:tcPr>
            <w:tcW w:w="0" w:type="dxa"/>
            <w:vAlign w:val="bottom"/>
          </w:tcPr>
          <w:p>
            <w:pPr>
              <w:spacing w:after="0"/>
              <w:rPr>
                <w:sz w:val="1"/>
                <w:szCs w:val="1"/>
                <w:color w:val="auto"/>
              </w:rPr>
            </w:pPr>
          </w:p>
        </w:tc>
      </w:tr>
      <w:tr>
        <w:trPr>
          <w:trHeight w:val="137"/>
        </w:trPr>
        <w:tc>
          <w:tcPr>
            <w:tcW w:w="1140" w:type="dxa"/>
            <w:vAlign w:val="bottom"/>
          </w:tcPr>
          <w:p>
            <w:pPr>
              <w:spacing w:after="0"/>
              <w:rPr>
                <w:sz w:val="11"/>
                <w:szCs w:val="11"/>
                <w:color w:val="auto"/>
              </w:rPr>
            </w:pPr>
          </w:p>
        </w:tc>
        <w:tc>
          <w:tcPr>
            <w:tcW w:w="7560" w:type="dxa"/>
            <w:vAlign w:val="bottom"/>
          </w:tcPr>
          <w:p>
            <w:pPr>
              <w:spacing w:after="0"/>
              <w:rPr>
                <w:sz w:val="11"/>
                <w:szCs w:val="11"/>
                <w:color w:val="auto"/>
              </w:rPr>
            </w:pPr>
          </w:p>
        </w:tc>
        <w:tc>
          <w:tcPr>
            <w:tcW w:w="140" w:type="dxa"/>
            <w:vAlign w:val="bottom"/>
            <w:tcBorders>
              <w:top w:val="single" w:sz="8" w:color="auto"/>
              <w:bottom w:val="single" w:sz="8" w:color="auto"/>
            </w:tcBorders>
          </w:tcPr>
          <w:p>
            <w:pPr>
              <w:spacing w:after="0"/>
              <w:rPr>
                <w:sz w:val="11"/>
                <w:szCs w:val="11"/>
                <w:color w:val="auto"/>
              </w:rPr>
            </w:pPr>
          </w:p>
        </w:tc>
        <w:tc>
          <w:tcPr>
            <w:tcW w:w="480" w:type="dxa"/>
            <w:vAlign w:val="bottom"/>
            <w:tcBorders>
              <w:top w:val="single" w:sz="8" w:color="auto"/>
              <w:bottom w:val="single" w:sz="8" w:color="auto"/>
            </w:tcBorders>
          </w:tcPr>
          <w:p>
            <w:pPr>
              <w:jc w:val="right"/>
              <w:ind w:right="114"/>
              <w:spacing w:after="0" w:line="138" w:lineRule="exact"/>
              <w:rPr>
                <w:sz w:val="20"/>
                <w:szCs w:val="20"/>
                <w:color w:val="auto"/>
              </w:rPr>
            </w:pPr>
            <w:r>
              <w:rPr>
                <w:rFonts w:ascii="Arial" w:cs="Arial" w:eastAsia="Arial" w:hAnsi="Arial"/>
                <w:sz w:val="13"/>
                <w:szCs w:val="13"/>
                <w:b w:val="1"/>
                <w:bCs w:val="1"/>
                <w:color w:val="auto"/>
                <w:w w:val="96"/>
              </w:rPr>
              <w:t>2016</w:t>
            </w:r>
          </w:p>
        </w:tc>
        <w:tc>
          <w:tcPr>
            <w:tcW w:w="160" w:type="dxa"/>
            <w:vAlign w:val="bottom"/>
            <w:tcBorders>
              <w:top w:val="single" w:sz="8" w:color="auto"/>
            </w:tcBorders>
          </w:tcPr>
          <w:p>
            <w:pPr>
              <w:spacing w:after="0"/>
              <w:rPr>
                <w:sz w:val="11"/>
                <w:szCs w:val="11"/>
                <w:color w:val="auto"/>
              </w:rPr>
            </w:pPr>
          </w:p>
        </w:tc>
        <w:tc>
          <w:tcPr>
            <w:tcW w:w="160" w:type="dxa"/>
            <w:vAlign w:val="bottom"/>
            <w:tcBorders>
              <w:top w:val="single" w:sz="8" w:color="auto"/>
              <w:bottom w:val="single" w:sz="8" w:color="auto"/>
            </w:tcBorders>
          </w:tcPr>
          <w:p>
            <w:pPr>
              <w:spacing w:after="0"/>
              <w:rPr>
                <w:sz w:val="11"/>
                <w:szCs w:val="11"/>
                <w:color w:val="auto"/>
              </w:rPr>
            </w:pPr>
          </w:p>
        </w:tc>
        <w:tc>
          <w:tcPr>
            <w:tcW w:w="480" w:type="dxa"/>
            <w:vAlign w:val="bottom"/>
            <w:tcBorders>
              <w:top w:val="single" w:sz="8" w:color="auto"/>
              <w:bottom w:val="single" w:sz="8" w:color="auto"/>
            </w:tcBorders>
          </w:tcPr>
          <w:p>
            <w:pPr>
              <w:jc w:val="right"/>
              <w:ind w:right="114"/>
              <w:spacing w:after="0" w:line="138" w:lineRule="exact"/>
              <w:rPr>
                <w:sz w:val="20"/>
                <w:szCs w:val="20"/>
                <w:color w:val="auto"/>
              </w:rPr>
            </w:pPr>
            <w:r>
              <w:rPr>
                <w:rFonts w:ascii="Arial" w:cs="Arial" w:eastAsia="Arial" w:hAnsi="Arial"/>
                <w:sz w:val="13"/>
                <w:szCs w:val="13"/>
                <w:b w:val="1"/>
                <w:bCs w:val="1"/>
                <w:color w:val="auto"/>
                <w:w w:val="96"/>
              </w:rPr>
              <w:t>2015</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1140" w:type="dxa"/>
            <w:vAlign w:val="bottom"/>
          </w:tcPr>
          <w:p>
            <w:pPr>
              <w:spacing w:after="0"/>
              <w:rPr>
                <w:sz w:val="11"/>
                <w:szCs w:val="11"/>
                <w:color w:val="auto"/>
              </w:rPr>
            </w:pPr>
          </w:p>
        </w:tc>
        <w:tc>
          <w:tcPr>
            <w:tcW w:w="7560" w:type="dxa"/>
            <w:vAlign w:val="bottom"/>
            <w:shd w:val="clear" w:color="auto" w:fill="CCEEFF"/>
          </w:tcPr>
          <w:p>
            <w:pPr>
              <w:ind w:left="220"/>
              <w:spacing w:after="0" w:line="138" w:lineRule="exact"/>
              <w:rPr>
                <w:sz w:val="20"/>
                <w:szCs w:val="20"/>
                <w:color w:val="auto"/>
              </w:rPr>
            </w:pPr>
            <w:r>
              <w:rPr>
                <w:rFonts w:ascii="Arial" w:cs="Arial" w:eastAsia="Arial" w:hAnsi="Arial"/>
                <w:sz w:val="13"/>
                <w:szCs w:val="13"/>
                <w:color w:val="auto"/>
              </w:rPr>
              <w:t>Net income for the period</w:t>
            </w:r>
          </w:p>
        </w:tc>
        <w:tc>
          <w:tcPr>
            <w:tcW w:w="14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27,788</w:t>
            </w:r>
          </w:p>
        </w:tc>
        <w:tc>
          <w:tcPr>
            <w:tcW w:w="160" w:type="dxa"/>
            <w:vAlign w:val="bottom"/>
            <w:shd w:val="clear" w:color="auto" w:fill="CCEEFF"/>
          </w:tcPr>
          <w:p>
            <w:pPr>
              <w:jc w:val="right"/>
              <w:ind w:right="14"/>
              <w:spacing w:after="0" w:line="138" w:lineRule="exact"/>
              <w:rPr>
                <w:sz w:val="20"/>
                <w:szCs w:val="20"/>
                <w:color w:val="auto"/>
              </w:rPr>
            </w:pPr>
            <w:r>
              <w:rPr>
                <w:rFonts w:ascii="Arial" w:cs="Arial" w:eastAsia="Arial" w:hAnsi="Arial"/>
                <w:sz w:val="13"/>
                <w:szCs w:val="13"/>
                <w:color w:val="auto"/>
                <w:w w:val="82"/>
              </w:rPr>
              <w:t>$</w:t>
            </w:r>
          </w:p>
        </w:tc>
        <w:tc>
          <w:tcPr>
            <w:tcW w:w="62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28,743</w:t>
            </w: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7560" w:type="dxa"/>
            <w:vAlign w:val="bottom"/>
            <w:vMerge w:val="restart"/>
          </w:tcPr>
          <w:p>
            <w:pPr>
              <w:ind w:left="220"/>
              <w:spacing w:after="0"/>
              <w:rPr>
                <w:sz w:val="20"/>
                <w:szCs w:val="20"/>
                <w:color w:val="auto"/>
              </w:rPr>
            </w:pPr>
            <w:r>
              <w:rPr>
                <w:rFonts w:ascii="Arial" w:cs="Arial" w:eastAsia="Arial" w:hAnsi="Arial"/>
                <w:sz w:val="13"/>
                <w:szCs w:val="13"/>
                <w:color w:val="auto"/>
              </w:rPr>
              <w:t>Weighted average number of common shares outstanding — basic (in thousands)</w:t>
            </w:r>
          </w:p>
        </w:tc>
        <w:tc>
          <w:tcPr>
            <w:tcW w:w="14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6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37"/>
        </w:trPr>
        <w:tc>
          <w:tcPr>
            <w:tcW w:w="1140" w:type="dxa"/>
            <w:vAlign w:val="bottom"/>
          </w:tcPr>
          <w:p>
            <w:pPr>
              <w:spacing w:after="0"/>
              <w:rPr>
                <w:sz w:val="11"/>
                <w:szCs w:val="11"/>
                <w:color w:val="auto"/>
              </w:rPr>
            </w:pPr>
          </w:p>
        </w:tc>
        <w:tc>
          <w:tcPr>
            <w:tcW w:w="7560" w:type="dxa"/>
            <w:vAlign w:val="bottom"/>
            <w:vMerge w:val="continue"/>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48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w w:val="97"/>
              </w:rPr>
              <w:t>219,681</w:t>
            </w:r>
          </w:p>
        </w:tc>
        <w:tc>
          <w:tcPr>
            <w:tcW w:w="16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480" w:type="dxa"/>
            <w:vAlign w:val="bottom"/>
            <w:tcBorders>
              <w:top w:val="single" w:sz="8" w:color="auto"/>
            </w:tcBorders>
          </w:tcPr>
          <w:p>
            <w:pPr>
              <w:jc w:val="right"/>
              <w:spacing w:after="0" w:line="138" w:lineRule="exact"/>
              <w:rPr>
                <w:sz w:val="20"/>
                <w:szCs w:val="20"/>
                <w:color w:val="auto"/>
              </w:rPr>
            </w:pPr>
            <w:r>
              <w:rPr>
                <w:rFonts w:ascii="Arial" w:cs="Arial" w:eastAsia="Arial" w:hAnsi="Arial"/>
                <w:sz w:val="13"/>
                <w:szCs w:val="13"/>
                <w:color w:val="auto"/>
                <w:w w:val="97"/>
              </w:rPr>
              <w:t>214,566</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7560" w:type="dxa"/>
            <w:vAlign w:val="bottom"/>
            <w:shd w:val="clear" w:color="auto" w:fill="CCEEFF"/>
          </w:tcPr>
          <w:p>
            <w:pPr>
              <w:ind w:left="360"/>
              <w:spacing w:after="0" w:line="144" w:lineRule="exact"/>
              <w:rPr>
                <w:sz w:val="20"/>
                <w:szCs w:val="20"/>
                <w:color w:val="auto"/>
              </w:rPr>
            </w:pPr>
            <w:r>
              <w:rPr>
                <w:rFonts w:ascii="Arial" w:cs="Arial" w:eastAsia="Arial" w:hAnsi="Arial"/>
                <w:sz w:val="13"/>
                <w:szCs w:val="13"/>
                <w:color w:val="auto"/>
              </w:rPr>
              <w:t>Add: Dilutive impact of common shares related to the RSU plan, PSU plan and LTIP</w:t>
            </w:r>
          </w:p>
        </w:tc>
        <w:tc>
          <w:tcPr>
            <w:tcW w:w="14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590</w:t>
            </w:r>
          </w:p>
        </w:tc>
        <w:tc>
          <w:tcPr>
            <w:tcW w:w="16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239</w:t>
            </w:r>
          </w:p>
        </w:tc>
        <w:tc>
          <w:tcPr>
            <w:tcW w:w="0" w:type="dxa"/>
            <w:vAlign w:val="bottom"/>
          </w:tcPr>
          <w:p>
            <w:pPr>
              <w:spacing w:after="0"/>
              <w:rPr>
                <w:sz w:val="1"/>
                <w:szCs w:val="1"/>
                <w:color w:val="auto"/>
              </w:rPr>
            </w:pPr>
          </w:p>
        </w:tc>
      </w:tr>
      <w:tr>
        <w:trPr>
          <w:trHeight w:val="168"/>
        </w:trPr>
        <w:tc>
          <w:tcPr>
            <w:tcW w:w="1140" w:type="dxa"/>
            <w:vAlign w:val="bottom"/>
          </w:tcPr>
          <w:p>
            <w:pPr>
              <w:spacing w:after="0"/>
              <w:rPr>
                <w:sz w:val="14"/>
                <w:szCs w:val="14"/>
                <w:color w:val="auto"/>
              </w:rPr>
            </w:pPr>
          </w:p>
        </w:tc>
        <w:tc>
          <w:tcPr>
            <w:tcW w:w="7560" w:type="dxa"/>
            <w:vAlign w:val="bottom"/>
          </w:tcPr>
          <w:p>
            <w:pPr>
              <w:ind w:left="360"/>
              <w:spacing w:after="0"/>
              <w:rPr>
                <w:sz w:val="20"/>
                <w:szCs w:val="20"/>
                <w:color w:val="auto"/>
              </w:rPr>
            </w:pPr>
            <w:r>
              <w:rPr>
                <w:rFonts w:ascii="Arial" w:cs="Arial" w:eastAsia="Arial" w:hAnsi="Arial"/>
                <w:sz w:val="13"/>
                <w:szCs w:val="13"/>
                <w:color w:val="auto"/>
              </w:rPr>
              <w:t>Add: Dilutive impact of employee stock options</w:t>
            </w:r>
          </w:p>
        </w:tc>
        <w:tc>
          <w:tcPr>
            <w:tcW w:w="140" w:type="dxa"/>
            <w:vAlign w:val="bottom"/>
          </w:tcPr>
          <w:p>
            <w:pPr>
              <w:spacing w:after="0"/>
              <w:rPr>
                <w:sz w:val="14"/>
                <w:szCs w:val="14"/>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3"/>
                <w:szCs w:val="13"/>
                <w:color w:val="auto"/>
              </w:rPr>
              <w:t>1,635</w:t>
            </w:r>
          </w:p>
        </w:tc>
        <w:tc>
          <w:tcPr>
            <w:tcW w:w="160" w:type="dxa"/>
            <w:vAlign w:val="bottom"/>
          </w:tcPr>
          <w:p>
            <w:pPr>
              <w:spacing w:after="0"/>
              <w:rPr>
                <w:sz w:val="14"/>
                <w:szCs w:val="14"/>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3"/>
                <w:szCs w:val="13"/>
                <w:color w:val="auto"/>
              </w:rPr>
              <w:t>887</w:t>
            </w: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75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1140" w:type="dxa"/>
            <w:vAlign w:val="bottom"/>
          </w:tcPr>
          <w:p>
            <w:pPr>
              <w:spacing w:after="0"/>
              <w:rPr>
                <w:sz w:val="12"/>
                <w:szCs w:val="12"/>
                <w:color w:val="auto"/>
              </w:rPr>
            </w:pPr>
          </w:p>
        </w:tc>
        <w:tc>
          <w:tcPr>
            <w:tcW w:w="7560" w:type="dxa"/>
            <w:vAlign w:val="bottom"/>
            <w:shd w:val="clear" w:color="auto" w:fill="CCEEFF"/>
          </w:tcPr>
          <w:p>
            <w:pPr>
              <w:ind w:left="220"/>
              <w:spacing w:after="0" w:line="140" w:lineRule="exact"/>
              <w:rPr>
                <w:sz w:val="20"/>
                <w:szCs w:val="20"/>
                <w:color w:val="auto"/>
              </w:rPr>
            </w:pPr>
            <w:r>
              <w:rPr>
                <w:rFonts w:ascii="Arial" w:cs="Arial" w:eastAsia="Arial" w:hAnsi="Arial"/>
                <w:sz w:val="13"/>
                <w:szCs w:val="13"/>
                <w:color w:val="auto"/>
              </w:rPr>
              <w:t>Weighted average number of common shares outstanding — diluted (in thousands)</w:t>
            </w:r>
          </w:p>
        </w:tc>
        <w:tc>
          <w:tcPr>
            <w:tcW w:w="14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221,906</w:t>
            </w:r>
          </w:p>
        </w:tc>
        <w:tc>
          <w:tcPr>
            <w:tcW w:w="16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w w:val="97"/>
              </w:rPr>
              <w:t>215,692</w:t>
            </w: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7560" w:type="dxa"/>
            <w:vAlign w:val="bottom"/>
            <w:vMerge w:val="restart"/>
          </w:tcPr>
          <w:p>
            <w:pPr>
              <w:ind w:left="220"/>
              <w:spacing w:after="0"/>
              <w:rPr>
                <w:sz w:val="20"/>
                <w:szCs w:val="20"/>
                <w:color w:val="auto"/>
              </w:rPr>
            </w:pPr>
            <w:r>
              <w:rPr>
                <w:rFonts w:ascii="Arial" w:cs="Arial" w:eastAsia="Arial" w:hAnsi="Arial"/>
                <w:sz w:val="13"/>
                <w:szCs w:val="13"/>
                <w:color w:val="auto"/>
              </w:rPr>
              <w:t>Net income per share — basic</w:t>
            </w:r>
          </w:p>
        </w:tc>
        <w:tc>
          <w:tcPr>
            <w:tcW w:w="14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7560" w:type="dxa"/>
            <w:vAlign w:val="bottom"/>
            <w:vMerge w:val="continu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7"/>
        </w:trPr>
        <w:tc>
          <w:tcPr>
            <w:tcW w:w="1140" w:type="dxa"/>
            <w:vAlign w:val="bottom"/>
          </w:tcPr>
          <w:p>
            <w:pPr>
              <w:spacing w:after="0"/>
              <w:rPr>
                <w:sz w:val="12"/>
                <w:szCs w:val="12"/>
                <w:color w:val="auto"/>
              </w:rPr>
            </w:pPr>
          </w:p>
        </w:tc>
        <w:tc>
          <w:tcPr>
            <w:tcW w:w="7560" w:type="dxa"/>
            <w:vAlign w:val="bottom"/>
            <w:vMerge w:val="continue"/>
          </w:tcPr>
          <w:p>
            <w:pPr>
              <w:spacing w:after="0"/>
              <w:rPr>
                <w:sz w:val="12"/>
                <w:szCs w:val="12"/>
                <w:color w:val="auto"/>
              </w:rPr>
            </w:pPr>
          </w:p>
        </w:tc>
        <w:tc>
          <w:tcPr>
            <w:tcW w:w="1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w w:val="82"/>
              </w:rPr>
              <w:t>$</w:t>
            </w:r>
          </w:p>
        </w:tc>
        <w:tc>
          <w:tcPr>
            <w:tcW w:w="48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0.13</w:t>
            </w:r>
          </w:p>
        </w:tc>
        <w:tc>
          <w:tcPr>
            <w:tcW w:w="160" w:type="dxa"/>
            <w:vAlign w:val="bottom"/>
          </w:tcPr>
          <w:p>
            <w:pPr>
              <w:spacing w:after="0"/>
              <w:rPr>
                <w:sz w:val="12"/>
                <w:szCs w:val="12"/>
                <w:color w:val="auto"/>
              </w:rPr>
            </w:pPr>
          </w:p>
        </w:tc>
        <w:tc>
          <w:tcPr>
            <w:tcW w:w="160" w:type="dxa"/>
            <w:vAlign w:val="bottom"/>
            <w:tcBorders>
              <w:top w:val="single" w:sz="8" w:color="auto"/>
              <w:bottom w:val="single" w:sz="8" w:color="auto"/>
            </w:tcBorders>
          </w:tcPr>
          <w:p>
            <w:pPr>
              <w:jc w:val="right"/>
              <w:ind w:right="14"/>
              <w:spacing w:after="0" w:line="147" w:lineRule="exact"/>
              <w:rPr>
                <w:sz w:val="20"/>
                <w:szCs w:val="20"/>
                <w:color w:val="auto"/>
              </w:rPr>
            </w:pPr>
            <w:r>
              <w:rPr>
                <w:rFonts w:ascii="Arial" w:cs="Arial" w:eastAsia="Arial" w:hAnsi="Arial"/>
                <w:sz w:val="13"/>
                <w:szCs w:val="13"/>
                <w:color w:val="auto"/>
                <w:w w:val="82"/>
              </w:rPr>
              <w:t>$</w:t>
            </w:r>
          </w:p>
        </w:tc>
        <w:tc>
          <w:tcPr>
            <w:tcW w:w="48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0.13</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75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1140" w:type="dxa"/>
            <w:vAlign w:val="bottom"/>
          </w:tcPr>
          <w:p>
            <w:pPr>
              <w:spacing w:after="0"/>
              <w:rPr>
                <w:sz w:val="10"/>
                <w:szCs w:val="10"/>
                <w:color w:val="auto"/>
              </w:rPr>
            </w:pPr>
          </w:p>
        </w:tc>
        <w:tc>
          <w:tcPr>
            <w:tcW w:w="7560" w:type="dxa"/>
            <w:vAlign w:val="bottom"/>
            <w:shd w:val="clear" w:color="auto" w:fill="CCEEFF"/>
          </w:tcPr>
          <w:p>
            <w:pPr>
              <w:ind w:left="220"/>
              <w:spacing w:after="0" w:line="126" w:lineRule="exact"/>
              <w:rPr>
                <w:sz w:val="20"/>
                <w:szCs w:val="20"/>
                <w:color w:val="auto"/>
              </w:rPr>
            </w:pPr>
            <w:r>
              <w:rPr>
                <w:rFonts w:ascii="Arial" w:cs="Arial" w:eastAsia="Arial" w:hAnsi="Arial"/>
                <w:sz w:val="13"/>
                <w:szCs w:val="13"/>
                <w:color w:val="auto"/>
              </w:rPr>
              <w:t>Net income per share — diluted</w:t>
            </w:r>
          </w:p>
        </w:tc>
        <w:tc>
          <w:tcPr>
            <w:tcW w:w="14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0.13</w:t>
            </w:r>
          </w:p>
        </w:tc>
        <w:tc>
          <w:tcPr>
            <w:tcW w:w="160" w:type="dxa"/>
            <w:vAlign w:val="bottom"/>
            <w:shd w:val="clear" w:color="auto" w:fill="CCEEFF"/>
          </w:tcPr>
          <w:p>
            <w:pPr>
              <w:jc w:val="right"/>
              <w:ind w:right="14"/>
              <w:spacing w:after="0" w:line="126" w:lineRule="exact"/>
              <w:rPr>
                <w:sz w:val="20"/>
                <w:szCs w:val="20"/>
                <w:color w:val="auto"/>
              </w:rPr>
            </w:pPr>
            <w:r>
              <w:rPr>
                <w:rFonts w:ascii="Arial" w:cs="Arial" w:eastAsia="Arial" w:hAnsi="Arial"/>
                <w:sz w:val="13"/>
                <w:szCs w:val="13"/>
                <w:color w:val="auto"/>
                <w:w w:val="82"/>
              </w:rPr>
              <w:t>$</w:t>
            </w:r>
          </w:p>
        </w:tc>
        <w:tc>
          <w:tcPr>
            <w:tcW w:w="62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0.13</w:t>
            </w: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75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75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Diluted net income per share has been calculated using the treasury stock method. In applying the treasury stock method, outstanding employee stock options with an exercise price greater than the average quoted market price of the common shares for the period outstanding are not included in the calculation of diluted net income per share as the impact would be anti-dilutive.</w:t>
      </w:r>
    </w:p>
    <w:p>
      <w:pPr>
        <w:spacing w:after="0" w:line="179"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For the three months ended March 31, 2016, 2,603,000 (three months ended March 31, 2015 — 4,893,755) employee stock options were excluded from the calculation of diluted net income per share as their impact would have been anti-dilutive.</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Flow-through share private placement</w:t>
      </w:r>
    </w:p>
    <w:p>
      <w:pPr>
        <w:spacing w:after="0" w:line="204" w:lineRule="exact"/>
        <w:rPr>
          <w:sz w:val="20"/>
          <w:szCs w:val="20"/>
          <w:color w:val="auto"/>
        </w:rPr>
      </w:pPr>
    </w:p>
    <w:p>
      <w:pPr>
        <w:jc w:val="both"/>
        <w:ind w:left="520"/>
        <w:spacing w:after="0" w:line="258" w:lineRule="auto"/>
        <w:rPr>
          <w:sz w:val="20"/>
          <w:szCs w:val="20"/>
          <w:color w:val="auto"/>
        </w:rPr>
      </w:pPr>
      <w:r>
        <w:rPr>
          <w:rFonts w:ascii="Arial" w:cs="Arial" w:eastAsia="Arial" w:hAnsi="Arial"/>
          <w:sz w:val="12"/>
          <w:szCs w:val="12"/>
          <w:color w:val="auto"/>
        </w:rPr>
        <w:t>On March 10, 2016, the Company raised approximately C$25.0 million ($18.7 million) through the issuance of 374,869 flow-through common shares at a price of C$66.69 per common share. Flow-through shares are securities issued to investors whereby the deductions for tax purposes related to resource exploration and evaluation expenditures may be claimed by investors instead of the issuer, subject to a renouncement process. At the time the flow-through shares were issued, the sale of tax deductions were deferred and are presented in the accounts payable and accrued liabilities line item in the condensed interim consolidated balance sheets because the Company has not yet fulfilled its obligation to pass on the tax deductions to the investor. When the Company fulfills its obligation, the sale of tax deductions is recognized in the income statement as a reduction of deferred tax expense. The closing price of the Company's common shares on the March 10, 2016 issuance date was C$48.49, resulting in an increase to share capital of approximately C$18.2 million ($13.6 million). The related C$6.8 million ($5.1 million) liability will be drawn down as eligible expenditures are incurred because the Company has a positive intention to renounce those expenses. During the three months ended March 31, 2016, the liability was drawn down by C$0.4 million ($0.3 million) based on eligible expenditures incurred.</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8" w:name="page39"/>
    <w:bookmarkEnd w:id="38"/>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March 31, 2016</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6180" w:type="dxa"/>
            <w:vAlign w:val="bottom"/>
            <w:gridSpan w:val="3"/>
          </w:tcPr>
          <w:p>
            <w:pPr>
              <w:spacing w:after="0"/>
              <w:rPr>
                <w:sz w:val="20"/>
                <w:szCs w:val="20"/>
                <w:color w:val="auto"/>
              </w:rPr>
            </w:pPr>
            <w:r>
              <w:rPr>
                <w:rFonts w:ascii="Arial" w:cs="Arial" w:eastAsia="Arial" w:hAnsi="Arial"/>
                <w:sz w:val="13"/>
                <w:szCs w:val="13"/>
                <w:b w:val="1"/>
                <w:bCs w:val="1"/>
                <w:color w:val="auto"/>
              </w:rPr>
              <w:t>11.  STOCK-BASED COMPENSATION</w:t>
            </w:r>
          </w:p>
        </w:tc>
        <w:tc>
          <w:tcPr>
            <w:tcW w:w="7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54"/>
        </w:trPr>
        <w:tc>
          <w:tcPr>
            <w:tcW w:w="860" w:type="dxa"/>
            <w:vAlign w:val="bottom"/>
          </w:tcPr>
          <w:p>
            <w:pPr>
              <w:ind w:left="520"/>
              <w:spacing w:after="0"/>
              <w:rPr>
                <w:sz w:val="20"/>
                <w:szCs w:val="20"/>
                <w:color w:val="auto"/>
              </w:rPr>
            </w:pPr>
            <w:r>
              <w:rPr>
                <w:rFonts w:ascii="Arial" w:cs="Arial" w:eastAsia="Arial" w:hAnsi="Arial"/>
                <w:sz w:val="13"/>
                <w:szCs w:val="13"/>
                <w:b w:val="1"/>
                <w:bCs w:val="1"/>
                <w:i w:val="1"/>
                <w:iCs w:val="1"/>
                <w:color w:val="auto"/>
              </w:rPr>
              <w:t>(a)</w:t>
            </w:r>
          </w:p>
        </w:tc>
        <w:tc>
          <w:tcPr>
            <w:tcW w:w="5320" w:type="dxa"/>
            <w:vAlign w:val="bottom"/>
            <w:gridSpan w:val="2"/>
          </w:tcPr>
          <w:p>
            <w:pPr>
              <w:ind w:left="200"/>
              <w:spacing w:after="0"/>
              <w:rPr>
                <w:sz w:val="20"/>
                <w:szCs w:val="20"/>
                <w:color w:val="auto"/>
              </w:rPr>
            </w:pPr>
            <w:r>
              <w:rPr>
                <w:rFonts w:ascii="Arial" w:cs="Arial" w:eastAsia="Arial" w:hAnsi="Arial"/>
                <w:sz w:val="13"/>
                <w:szCs w:val="13"/>
                <w:b w:val="1"/>
                <w:bCs w:val="1"/>
                <w:i w:val="1"/>
                <w:iCs w:val="1"/>
                <w:color w:val="auto"/>
              </w:rPr>
              <w:t>Employee Stock Option Plan ("ESOP")</w:t>
            </w:r>
          </w:p>
        </w:tc>
        <w:tc>
          <w:tcPr>
            <w:tcW w:w="7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1"/>
        </w:trPr>
        <w:tc>
          <w:tcPr>
            <w:tcW w:w="6180" w:type="dxa"/>
            <w:vAlign w:val="bottom"/>
            <w:gridSpan w:val="3"/>
          </w:tcPr>
          <w:p>
            <w:pPr>
              <w:ind w:left="520"/>
              <w:spacing w:after="0"/>
              <w:rPr>
                <w:sz w:val="20"/>
                <w:szCs w:val="20"/>
                <w:color w:val="auto"/>
              </w:rPr>
            </w:pPr>
            <w:r>
              <w:rPr>
                <w:rFonts w:ascii="Arial" w:cs="Arial" w:eastAsia="Arial" w:hAnsi="Arial"/>
                <w:sz w:val="13"/>
                <w:szCs w:val="13"/>
                <w:color w:val="auto"/>
              </w:rPr>
              <w:t>The following table sets out activity with respect to Agnico Eagle's outstanding stock options:</w:t>
            </w:r>
          </w:p>
        </w:tc>
        <w:tc>
          <w:tcPr>
            <w:tcW w:w="7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8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040" w:type="dxa"/>
            <w:vAlign w:val="bottom"/>
          </w:tcPr>
          <w:p>
            <w:pPr>
              <w:spacing w:after="0"/>
              <w:rPr>
                <w:sz w:val="24"/>
                <w:szCs w:val="24"/>
                <w:color w:val="auto"/>
              </w:rPr>
            </w:pPr>
          </w:p>
        </w:tc>
        <w:tc>
          <w:tcPr>
            <w:tcW w:w="2040" w:type="dxa"/>
            <w:vAlign w:val="bottom"/>
            <w:gridSpan w:val="5"/>
          </w:tcPr>
          <w:p>
            <w:pPr>
              <w:jc w:val="center"/>
              <w:ind w:right="140"/>
              <w:spacing w:after="0"/>
              <w:rPr>
                <w:sz w:val="20"/>
                <w:szCs w:val="20"/>
                <w:color w:val="auto"/>
              </w:rPr>
            </w:pPr>
            <w:r>
              <w:rPr>
                <w:rFonts w:ascii="Arial" w:cs="Arial" w:eastAsia="Arial" w:hAnsi="Arial"/>
                <w:sz w:val="13"/>
                <w:szCs w:val="13"/>
                <w:b w:val="1"/>
                <w:bCs w:val="1"/>
                <w:color w:val="auto"/>
                <w:w w:val="91"/>
              </w:rPr>
              <w:t>Three Months Ended</w:t>
            </w:r>
          </w:p>
        </w:tc>
        <w:tc>
          <w:tcPr>
            <w:tcW w:w="2040" w:type="dxa"/>
            <w:vAlign w:val="bottom"/>
            <w:gridSpan w:val="5"/>
          </w:tcPr>
          <w:p>
            <w:pPr>
              <w:jc w:val="center"/>
              <w:ind w:right="120"/>
              <w:spacing w:after="0"/>
              <w:rPr>
                <w:sz w:val="20"/>
                <w:szCs w:val="20"/>
                <w:color w:val="auto"/>
              </w:rPr>
            </w:pPr>
            <w:r>
              <w:rPr>
                <w:rFonts w:ascii="Arial" w:cs="Arial" w:eastAsia="Arial" w:hAnsi="Arial"/>
                <w:sz w:val="13"/>
                <w:szCs w:val="13"/>
                <w:b w:val="1"/>
                <w:bCs w:val="1"/>
                <w:color w:val="auto"/>
                <w:w w:val="93"/>
              </w:rPr>
              <w:t>Three Months Ended</w:t>
            </w:r>
          </w:p>
        </w:tc>
        <w:tc>
          <w:tcPr>
            <w:tcW w:w="0" w:type="dxa"/>
            <w:vAlign w:val="bottom"/>
          </w:tcPr>
          <w:p>
            <w:pPr>
              <w:spacing w:after="0"/>
              <w:rPr>
                <w:sz w:val="1"/>
                <w:szCs w:val="1"/>
                <w:color w:val="auto"/>
              </w:rPr>
            </w:pPr>
          </w:p>
        </w:tc>
      </w:tr>
      <w:tr>
        <w:trPr>
          <w:trHeight w:val="157"/>
        </w:trPr>
        <w:tc>
          <w:tcPr>
            <w:tcW w:w="8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5040" w:type="dxa"/>
            <w:vAlign w:val="bottom"/>
          </w:tcPr>
          <w:p>
            <w:pPr>
              <w:spacing w:after="0"/>
              <w:rPr>
                <w:sz w:val="13"/>
                <w:szCs w:val="13"/>
                <w:color w:val="auto"/>
              </w:rPr>
            </w:pPr>
          </w:p>
        </w:tc>
        <w:tc>
          <w:tcPr>
            <w:tcW w:w="2040" w:type="dxa"/>
            <w:vAlign w:val="bottom"/>
            <w:gridSpan w:val="5"/>
          </w:tcPr>
          <w:p>
            <w:pPr>
              <w:jc w:val="center"/>
              <w:ind w:right="140"/>
              <w:spacing w:after="0"/>
              <w:rPr>
                <w:sz w:val="20"/>
                <w:szCs w:val="20"/>
                <w:color w:val="auto"/>
              </w:rPr>
            </w:pPr>
            <w:r>
              <w:rPr>
                <w:rFonts w:ascii="Arial" w:cs="Arial" w:eastAsia="Arial" w:hAnsi="Arial"/>
                <w:sz w:val="13"/>
                <w:szCs w:val="13"/>
                <w:b w:val="1"/>
                <w:bCs w:val="1"/>
                <w:color w:val="auto"/>
                <w:w w:val="92"/>
              </w:rPr>
              <w:t>March 31, 2016</w:t>
            </w:r>
          </w:p>
        </w:tc>
        <w:tc>
          <w:tcPr>
            <w:tcW w:w="2040" w:type="dxa"/>
            <w:vAlign w:val="bottom"/>
            <w:gridSpan w:val="5"/>
          </w:tcPr>
          <w:p>
            <w:pPr>
              <w:jc w:val="center"/>
              <w:ind w:right="140"/>
              <w:spacing w:after="0"/>
              <w:rPr>
                <w:sz w:val="20"/>
                <w:szCs w:val="20"/>
                <w:color w:val="auto"/>
              </w:rPr>
            </w:pPr>
            <w:r>
              <w:rPr>
                <w:rFonts w:ascii="Arial" w:cs="Arial" w:eastAsia="Arial" w:hAnsi="Arial"/>
                <w:sz w:val="13"/>
                <w:szCs w:val="13"/>
                <w:b w:val="1"/>
                <w:bCs w:val="1"/>
                <w:color w:val="auto"/>
                <w:w w:val="92"/>
              </w:rPr>
              <w:t>March 31, 2015</w:t>
            </w:r>
          </w:p>
        </w:tc>
        <w:tc>
          <w:tcPr>
            <w:tcW w:w="0" w:type="dxa"/>
            <w:vAlign w:val="bottom"/>
          </w:tcPr>
          <w:p>
            <w:pPr>
              <w:spacing w:after="0"/>
              <w:rPr>
                <w:sz w:val="1"/>
                <w:szCs w:val="1"/>
                <w:color w:val="auto"/>
              </w:rPr>
            </w:pPr>
          </w:p>
        </w:tc>
      </w:tr>
      <w:tr>
        <w:trPr>
          <w:trHeight w:val="124"/>
        </w:trPr>
        <w:tc>
          <w:tcPr>
            <w:tcW w:w="8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5040" w:type="dxa"/>
            <w:vAlign w:val="bottom"/>
          </w:tcPr>
          <w:p>
            <w:pPr>
              <w:spacing w:after="0"/>
              <w:rPr>
                <w:sz w:val="10"/>
                <w:szCs w:val="10"/>
                <w:color w:val="auto"/>
              </w:rPr>
            </w:pPr>
          </w:p>
        </w:tc>
        <w:tc>
          <w:tcPr>
            <w:tcW w:w="74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780" w:type="dxa"/>
            <w:vAlign w:val="bottom"/>
            <w:tcBorders>
              <w:top w:val="single" w:sz="8" w:color="auto"/>
            </w:tcBorders>
          </w:tcPr>
          <w:p>
            <w:pPr>
              <w:jc w:val="center"/>
              <w:ind w:right="114"/>
              <w:spacing w:after="0" w:line="124" w:lineRule="exact"/>
              <w:rPr>
                <w:sz w:val="20"/>
                <w:szCs w:val="20"/>
                <w:color w:val="auto"/>
              </w:rPr>
            </w:pPr>
            <w:r>
              <w:rPr>
                <w:rFonts w:ascii="Arial" w:cs="Arial" w:eastAsia="Arial" w:hAnsi="Arial"/>
                <w:sz w:val="13"/>
                <w:szCs w:val="13"/>
                <w:b w:val="1"/>
                <w:bCs w:val="1"/>
                <w:color w:val="auto"/>
                <w:w w:val="88"/>
              </w:rPr>
              <w:t>Weighted</w:t>
            </w:r>
          </w:p>
        </w:tc>
        <w:tc>
          <w:tcPr>
            <w:tcW w:w="160" w:type="dxa"/>
            <w:vAlign w:val="bottom"/>
          </w:tcPr>
          <w:p>
            <w:pPr>
              <w:spacing w:after="0"/>
              <w:rPr>
                <w:sz w:val="10"/>
                <w:szCs w:val="10"/>
                <w:color w:val="auto"/>
              </w:rPr>
            </w:pPr>
          </w:p>
        </w:tc>
        <w:tc>
          <w:tcPr>
            <w:tcW w:w="76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jc w:val="center"/>
              <w:ind w:right="114"/>
              <w:spacing w:after="0" w:line="124" w:lineRule="exact"/>
              <w:rPr>
                <w:sz w:val="20"/>
                <w:szCs w:val="20"/>
                <w:color w:val="auto"/>
              </w:rPr>
            </w:pPr>
            <w:r>
              <w:rPr>
                <w:rFonts w:ascii="Arial" w:cs="Arial" w:eastAsia="Arial" w:hAnsi="Arial"/>
                <w:sz w:val="13"/>
                <w:szCs w:val="13"/>
                <w:b w:val="1"/>
                <w:bCs w:val="1"/>
                <w:color w:val="auto"/>
                <w:w w:val="92"/>
              </w:rPr>
              <w:t>Weighted</w:t>
            </w: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40" w:type="dxa"/>
            <w:vAlign w:val="bottom"/>
          </w:tcPr>
          <w:p>
            <w:pPr>
              <w:spacing w:after="0"/>
              <w:rPr>
                <w:sz w:val="12"/>
                <w:szCs w:val="12"/>
                <w:color w:val="auto"/>
              </w:rPr>
            </w:pPr>
          </w:p>
        </w:tc>
        <w:tc>
          <w:tcPr>
            <w:tcW w:w="900" w:type="dxa"/>
            <w:vAlign w:val="bottom"/>
            <w:gridSpan w:val="2"/>
          </w:tcPr>
          <w:p>
            <w:pPr>
              <w:jc w:val="center"/>
              <w:ind w:right="140"/>
              <w:spacing w:after="0" w:line="144" w:lineRule="exact"/>
              <w:rPr>
                <w:sz w:val="20"/>
                <w:szCs w:val="20"/>
                <w:color w:val="auto"/>
              </w:rPr>
            </w:pPr>
            <w:r>
              <w:rPr>
                <w:rFonts w:ascii="Arial" w:cs="Arial" w:eastAsia="Arial" w:hAnsi="Arial"/>
                <w:sz w:val="13"/>
                <w:szCs w:val="13"/>
                <w:b w:val="1"/>
                <w:bCs w:val="1"/>
                <w:color w:val="auto"/>
                <w:w w:val="92"/>
              </w:rPr>
              <w:t>Number of</w:t>
            </w:r>
          </w:p>
        </w:tc>
        <w:tc>
          <w:tcPr>
            <w:tcW w:w="200" w:type="dxa"/>
            <w:vAlign w:val="bottom"/>
          </w:tcPr>
          <w:p>
            <w:pPr>
              <w:spacing w:after="0"/>
              <w:rPr>
                <w:sz w:val="12"/>
                <w:szCs w:val="12"/>
                <w:color w:val="auto"/>
              </w:rPr>
            </w:pPr>
          </w:p>
        </w:tc>
        <w:tc>
          <w:tcPr>
            <w:tcW w:w="940" w:type="dxa"/>
            <w:vAlign w:val="bottom"/>
            <w:gridSpan w:val="2"/>
          </w:tcPr>
          <w:p>
            <w:pPr>
              <w:jc w:val="center"/>
              <w:ind w:right="320"/>
              <w:spacing w:after="0" w:line="144" w:lineRule="exact"/>
              <w:rPr>
                <w:sz w:val="20"/>
                <w:szCs w:val="20"/>
                <w:color w:val="auto"/>
              </w:rPr>
            </w:pPr>
            <w:r>
              <w:rPr>
                <w:rFonts w:ascii="Arial" w:cs="Arial" w:eastAsia="Arial" w:hAnsi="Arial"/>
                <w:sz w:val="13"/>
                <w:szCs w:val="13"/>
                <w:b w:val="1"/>
                <w:bCs w:val="1"/>
                <w:color w:val="auto"/>
                <w:w w:val="89"/>
              </w:rPr>
              <w:t>Average</w:t>
            </w:r>
          </w:p>
        </w:tc>
        <w:tc>
          <w:tcPr>
            <w:tcW w:w="900" w:type="dxa"/>
            <w:vAlign w:val="bottom"/>
            <w:gridSpan w:val="2"/>
          </w:tcPr>
          <w:p>
            <w:pPr>
              <w:jc w:val="center"/>
              <w:ind w:right="140"/>
              <w:spacing w:after="0" w:line="144" w:lineRule="exact"/>
              <w:rPr>
                <w:sz w:val="20"/>
                <w:szCs w:val="20"/>
                <w:color w:val="auto"/>
              </w:rPr>
            </w:pPr>
            <w:r>
              <w:rPr>
                <w:rFonts w:ascii="Arial" w:cs="Arial" w:eastAsia="Arial" w:hAnsi="Arial"/>
                <w:sz w:val="13"/>
                <w:szCs w:val="13"/>
                <w:b w:val="1"/>
                <w:bCs w:val="1"/>
                <w:color w:val="auto"/>
                <w:w w:val="92"/>
              </w:rPr>
              <w:t>Number of</w:t>
            </w:r>
          </w:p>
        </w:tc>
        <w:tc>
          <w:tcPr>
            <w:tcW w:w="200" w:type="dxa"/>
            <w:vAlign w:val="bottom"/>
          </w:tcPr>
          <w:p>
            <w:pPr>
              <w:spacing w:after="0"/>
              <w:rPr>
                <w:sz w:val="12"/>
                <w:szCs w:val="12"/>
                <w:color w:val="auto"/>
              </w:rPr>
            </w:pPr>
          </w:p>
        </w:tc>
        <w:tc>
          <w:tcPr>
            <w:tcW w:w="940" w:type="dxa"/>
            <w:vAlign w:val="bottom"/>
            <w:gridSpan w:val="2"/>
          </w:tcPr>
          <w:p>
            <w:pPr>
              <w:jc w:val="center"/>
              <w:ind w:right="320"/>
              <w:spacing w:after="0" w:line="144" w:lineRule="exact"/>
              <w:rPr>
                <w:sz w:val="20"/>
                <w:szCs w:val="20"/>
                <w:color w:val="auto"/>
              </w:rPr>
            </w:pPr>
            <w:r>
              <w:rPr>
                <w:rFonts w:ascii="Arial" w:cs="Arial" w:eastAsia="Arial" w:hAnsi="Arial"/>
                <w:sz w:val="13"/>
                <w:szCs w:val="13"/>
                <w:b w:val="1"/>
                <w:bCs w:val="1"/>
                <w:color w:val="auto"/>
                <w:w w:val="89"/>
              </w:rPr>
              <w:t>Average</w:t>
            </w:r>
          </w:p>
        </w:tc>
        <w:tc>
          <w:tcPr>
            <w:tcW w:w="0" w:type="dxa"/>
            <w:vAlign w:val="bottom"/>
          </w:tcPr>
          <w:p>
            <w:pPr>
              <w:spacing w:after="0"/>
              <w:rPr>
                <w:sz w:val="1"/>
                <w:szCs w:val="1"/>
                <w:color w:val="auto"/>
              </w:rPr>
            </w:pPr>
          </w:p>
        </w:tc>
      </w:tr>
      <w:tr>
        <w:trPr>
          <w:trHeight w:val="144"/>
        </w:trPr>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40" w:type="dxa"/>
            <w:vAlign w:val="bottom"/>
          </w:tcPr>
          <w:p>
            <w:pPr>
              <w:spacing w:after="0"/>
              <w:rPr>
                <w:sz w:val="12"/>
                <w:szCs w:val="12"/>
                <w:color w:val="auto"/>
              </w:rPr>
            </w:pPr>
          </w:p>
        </w:tc>
        <w:tc>
          <w:tcPr>
            <w:tcW w:w="900" w:type="dxa"/>
            <w:vAlign w:val="bottom"/>
            <w:gridSpan w:val="2"/>
          </w:tcPr>
          <w:p>
            <w:pPr>
              <w:jc w:val="center"/>
              <w:ind w:right="140"/>
              <w:spacing w:after="0" w:line="144" w:lineRule="exact"/>
              <w:rPr>
                <w:sz w:val="20"/>
                <w:szCs w:val="20"/>
                <w:color w:val="auto"/>
              </w:rPr>
            </w:pPr>
            <w:r>
              <w:rPr>
                <w:rFonts w:ascii="Arial" w:cs="Arial" w:eastAsia="Arial" w:hAnsi="Arial"/>
                <w:sz w:val="13"/>
                <w:szCs w:val="13"/>
                <w:b w:val="1"/>
                <w:bCs w:val="1"/>
                <w:color w:val="auto"/>
                <w:w w:val="90"/>
              </w:rPr>
              <w:t>Stock</w:t>
            </w:r>
          </w:p>
        </w:tc>
        <w:tc>
          <w:tcPr>
            <w:tcW w:w="200" w:type="dxa"/>
            <w:vAlign w:val="bottom"/>
          </w:tcPr>
          <w:p>
            <w:pPr>
              <w:spacing w:after="0"/>
              <w:rPr>
                <w:sz w:val="12"/>
                <w:szCs w:val="12"/>
                <w:color w:val="auto"/>
              </w:rPr>
            </w:pPr>
          </w:p>
        </w:tc>
        <w:tc>
          <w:tcPr>
            <w:tcW w:w="940" w:type="dxa"/>
            <w:vAlign w:val="bottom"/>
            <w:gridSpan w:val="2"/>
          </w:tcPr>
          <w:p>
            <w:pPr>
              <w:jc w:val="center"/>
              <w:ind w:right="340"/>
              <w:spacing w:after="0" w:line="144" w:lineRule="exact"/>
              <w:rPr>
                <w:sz w:val="20"/>
                <w:szCs w:val="20"/>
                <w:color w:val="auto"/>
              </w:rPr>
            </w:pPr>
            <w:r>
              <w:rPr>
                <w:rFonts w:ascii="Arial" w:cs="Arial" w:eastAsia="Arial" w:hAnsi="Arial"/>
                <w:sz w:val="13"/>
                <w:szCs w:val="13"/>
                <w:b w:val="1"/>
                <w:bCs w:val="1"/>
                <w:color w:val="auto"/>
                <w:w w:val="89"/>
              </w:rPr>
              <w:t>Exercise</w:t>
            </w:r>
          </w:p>
        </w:tc>
        <w:tc>
          <w:tcPr>
            <w:tcW w:w="900" w:type="dxa"/>
            <w:vAlign w:val="bottom"/>
            <w:gridSpan w:val="2"/>
          </w:tcPr>
          <w:p>
            <w:pPr>
              <w:jc w:val="center"/>
              <w:ind w:right="140"/>
              <w:spacing w:after="0" w:line="144" w:lineRule="exact"/>
              <w:rPr>
                <w:sz w:val="20"/>
                <w:szCs w:val="20"/>
                <w:color w:val="auto"/>
              </w:rPr>
            </w:pPr>
            <w:r>
              <w:rPr>
                <w:rFonts w:ascii="Arial" w:cs="Arial" w:eastAsia="Arial" w:hAnsi="Arial"/>
                <w:sz w:val="13"/>
                <w:szCs w:val="13"/>
                <w:b w:val="1"/>
                <w:bCs w:val="1"/>
                <w:color w:val="auto"/>
                <w:w w:val="90"/>
              </w:rPr>
              <w:t>Stock</w:t>
            </w:r>
          </w:p>
        </w:tc>
        <w:tc>
          <w:tcPr>
            <w:tcW w:w="200" w:type="dxa"/>
            <w:vAlign w:val="bottom"/>
          </w:tcPr>
          <w:p>
            <w:pPr>
              <w:spacing w:after="0"/>
              <w:rPr>
                <w:sz w:val="12"/>
                <w:szCs w:val="12"/>
                <w:color w:val="auto"/>
              </w:rPr>
            </w:pPr>
          </w:p>
        </w:tc>
        <w:tc>
          <w:tcPr>
            <w:tcW w:w="940" w:type="dxa"/>
            <w:vAlign w:val="bottom"/>
            <w:gridSpan w:val="2"/>
          </w:tcPr>
          <w:p>
            <w:pPr>
              <w:jc w:val="center"/>
              <w:ind w:right="320"/>
              <w:spacing w:after="0" w:line="144" w:lineRule="exact"/>
              <w:rPr>
                <w:sz w:val="20"/>
                <w:szCs w:val="20"/>
                <w:color w:val="auto"/>
              </w:rPr>
            </w:pPr>
            <w:r>
              <w:rPr>
                <w:rFonts w:ascii="Arial" w:cs="Arial" w:eastAsia="Arial" w:hAnsi="Arial"/>
                <w:sz w:val="13"/>
                <w:szCs w:val="13"/>
                <w:b w:val="1"/>
                <w:bCs w:val="1"/>
                <w:color w:val="auto"/>
                <w:w w:val="85"/>
              </w:rPr>
              <w:t>Exercise</w:t>
            </w:r>
          </w:p>
        </w:tc>
        <w:tc>
          <w:tcPr>
            <w:tcW w:w="0" w:type="dxa"/>
            <w:vAlign w:val="bottom"/>
          </w:tcPr>
          <w:p>
            <w:pPr>
              <w:spacing w:after="0"/>
              <w:rPr>
                <w:sz w:val="1"/>
                <w:szCs w:val="1"/>
                <w:color w:val="auto"/>
              </w:rPr>
            </w:pPr>
          </w:p>
        </w:tc>
      </w:tr>
      <w:tr>
        <w:trPr>
          <w:trHeight w:val="157"/>
        </w:trPr>
        <w:tc>
          <w:tcPr>
            <w:tcW w:w="8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5040" w:type="dxa"/>
            <w:vAlign w:val="bottom"/>
          </w:tcPr>
          <w:p>
            <w:pPr>
              <w:spacing w:after="0"/>
              <w:rPr>
                <w:sz w:val="13"/>
                <w:szCs w:val="13"/>
                <w:color w:val="auto"/>
              </w:rPr>
            </w:pPr>
          </w:p>
        </w:tc>
        <w:tc>
          <w:tcPr>
            <w:tcW w:w="74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Options</w:t>
            </w:r>
          </w:p>
        </w:tc>
        <w:tc>
          <w:tcPr>
            <w:tcW w:w="16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jc w:val="center"/>
              <w:ind w:right="114"/>
              <w:spacing w:after="0"/>
              <w:rPr>
                <w:sz w:val="20"/>
                <w:szCs w:val="20"/>
                <w:color w:val="auto"/>
              </w:rPr>
            </w:pPr>
            <w:r>
              <w:rPr>
                <w:rFonts w:ascii="Arial" w:cs="Arial" w:eastAsia="Arial" w:hAnsi="Arial"/>
                <w:sz w:val="13"/>
                <w:szCs w:val="13"/>
                <w:b w:val="1"/>
                <w:bCs w:val="1"/>
                <w:color w:val="auto"/>
                <w:w w:val="87"/>
              </w:rPr>
              <w:t>Price</w:t>
            </w:r>
          </w:p>
        </w:tc>
        <w:tc>
          <w:tcPr>
            <w:tcW w:w="160" w:type="dxa"/>
            <w:vAlign w:val="bottom"/>
          </w:tcPr>
          <w:p>
            <w:pPr>
              <w:spacing w:after="0"/>
              <w:rPr>
                <w:sz w:val="13"/>
                <w:szCs w:val="13"/>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Options</w:t>
            </w:r>
          </w:p>
        </w:tc>
        <w:tc>
          <w:tcPr>
            <w:tcW w:w="14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800" w:type="dxa"/>
            <w:vAlign w:val="bottom"/>
            <w:tcBorders>
              <w:bottom w:val="single" w:sz="8" w:color="auto"/>
            </w:tcBorders>
          </w:tcPr>
          <w:p>
            <w:pPr>
              <w:jc w:val="center"/>
              <w:ind w:right="114"/>
              <w:spacing w:after="0"/>
              <w:rPr>
                <w:sz w:val="20"/>
                <w:szCs w:val="20"/>
                <w:color w:val="auto"/>
              </w:rPr>
            </w:pPr>
            <w:r>
              <w:rPr>
                <w:rFonts w:ascii="Arial" w:cs="Arial" w:eastAsia="Arial" w:hAnsi="Arial"/>
                <w:sz w:val="13"/>
                <w:szCs w:val="13"/>
                <w:b w:val="1"/>
                <w:bCs w:val="1"/>
                <w:color w:val="auto"/>
                <w:w w:val="94"/>
              </w:rPr>
              <w:t>Price</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8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040" w:type="dxa"/>
            <w:vAlign w:val="bottom"/>
            <w:shd w:val="clear" w:color="auto" w:fill="CCEEFF"/>
          </w:tcPr>
          <w:p>
            <w:pPr>
              <w:ind w:left="220"/>
              <w:spacing w:after="0" w:line="138" w:lineRule="exact"/>
              <w:rPr>
                <w:sz w:val="20"/>
                <w:szCs w:val="20"/>
                <w:color w:val="auto"/>
              </w:rPr>
            </w:pPr>
            <w:r>
              <w:rPr>
                <w:rFonts w:ascii="Arial" w:cs="Arial" w:eastAsia="Arial" w:hAnsi="Arial"/>
                <w:sz w:val="13"/>
                <w:szCs w:val="13"/>
                <w:color w:val="auto"/>
              </w:rPr>
              <w:t>Outstanding, beginning of period</w:t>
            </w:r>
          </w:p>
        </w:tc>
        <w:tc>
          <w:tcPr>
            <w:tcW w:w="90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12,082,212</w:t>
            </w:r>
          </w:p>
        </w:tc>
        <w:tc>
          <w:tcPr>
            <w:tcW w:w="200" w:type="dxa"/>
            <w:vAlign w:val="bottom"/>
            <w:shd w:val="clear" w:color="auto" w:fill="CCEEFF"/>
          </w:tcPr>
          <w:p>
            <w:pPr>
              <w:ind w:left="20"/>
              <w:spacing w:after="0" w:line="138" w:lineRule="exact"/>
              <w:rPr>
                <w:sz w:val="20"/>
                <w:szCs w:val="20"/>
                <w:color w:val="auto"/>
              </w:rPr>
            </w:pPr>
            <w:r>
              <w:rPr>
                <w:rFonts w:ascii="Arial" w:cs="Arial" w:eastAsia="Arial" w:hAnsi="Arial"/>
                <w:sz w:val="13"/>
                <w:szCs w:val="13"/>
                <w:color w:val="auto"/>
                <w:w w:val="96"/>
              </w:rPr>
              <w:t>C$</w:t>
            </w:r>
          </w:p>
        </w:tc>
        <w:tc>
          <w:tcPr>
            <w:tcW w:w="940" w:type="dxa"/>
            <w:vAlign w:val="bottom"/>
            <w:gridSpan w:val="2"/>
            <w:shd w:val="clear" w:color="auto" w:fill="CCEEFF"/>
          </w:tcPr>
          <w:p>
            <w:pPr>
              <w:ind w:left="500"/>
              <w:spacing w:after="0" w:line="138" w:lineRule="exact"/>
              <w:rPr>
                <w:sz w:val="20"/>
                <w:szCs w:val="20"/>
                <w:color w:val="auto"/>
              </w:rPr>
            </w:pPr>
            <w:r>
              <w:rPr>
                <w:rFonts w:ascii="Arial" w:cs="Arial" w:eastAsia="Arial" w:hAnsi="Arial"/>
                <w:sz w:val="13"/>
                <w:szCs w:val="13"/>
                <w:color w:val="auto"/>
              </w:rPr>
              <w:t>43.65</w:t>
            </w:r>
          </w:p>
        </w:tc>
        <w:tc>
          <w:tcPr>
            <w:tcW w:w="90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11,913,210</w:t>
            </w:r>
          </w:p>
        </w:tc>
        <w:tc>
          <w:tcPr>
            <w:tcW w:w="200" w:type="dxa"/>
            <w:vAlign w:val="bottom"/>
            <w:shd w:val="clear" w:color="auto" w:fill="CCEEFF"/>
          </w:tcPr>
          <w:p>
            <w:pPr>
              <w:ind w:left="20"/>
              <w:spacing w:after="0" w:line="138" w:lineRule="exact"/>
              <w:rPr>
                <w:sz w:val="20"/>
                <w:szCs w:val="20"/>
                <w:color w:val="auto"/>
              </w:rPr>
            </w:pPr>
            <w:r>
              <w:rPr>
                <w:rFonts w:ascii="Arial" w:cs="Arial" w:eastAsia="Arial" w:hAnsi="Arial"/>
                <w:sz w:val="13"/>
                <w:szCs w:val="13"/>
                <w:color w:val="auto"/>
                <w:w w:val="96"/>
              </w:rPr>
              <w:t>C$</w:t>
            </w:r>
          </w:p>
        </w:tc>
        <w:tc>
          <w:tcPr>
            <w:tcW w:w="94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48.84</w:t>
            </w:r>
          </w:p>
        </w:tc>
        <w:tc>
          <w:tcPr>
            <w:tcW w:w="0" w:type="dxa"/>
            <w:vAlign w:val="bottom"/>
          </w:tcPr>
          <w:p>
            <w:pPr>
              <w:spacing w:after="0"/>
              <w:rPr>
                <w:sz w:val="1"/>
                <w:szCs w:val="1"/>
                <w:color w:val="auto"/>
              </w:rPr>
            </w:pPr>
          </w:p>
        </w:tc>
      </w:tr>
      <w:tr>
        <w:trPr>
          <w:trHeight w:val="144"/>
        </w:trPr>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40" w:type="dxa"/>
            <w:vAlign w:val="bottom"/>
          </w:tcPr>
          <w:p>
            <w:pPr>
              <w:ind w:left="220"/>
              <w:spacing w:after="0" w:line="144" w:lineRule="exact"/>
              <w:rPr>
                <w:sz w:val="20"/>
                <w:szCs w:val="20"/>
                <w:color w:val="auto"/>
              </w:rPr>
            </w:pPr>
            <w:r>
              <w:rPr>
                <w:rFonts w:ascii="Arial" w:cs="Arial" w:eastAsia="Arial" w:hAnsi="Arial"/>
                <w:sz w:val="13"/>
                <w:szCs w:val="13"/>
                <w:color w:val="auto"/>
              </w:rPr>
              <w:t>Granted</w:t>
            </w:r>
          </w:p>
        </w:tc>
        <w:tc>
          <w:tcPr>
            <w:tcW w:w="90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2,140,075</w:t>
            </w:r>
          </w:p>
        </w:tc>
        <w:tc>
          <w:tcPr>
            <w:tcW w:w="200" w:type="dxa"/>
            <w:vAlign w:val="bottom"/>
          </w:tcPr>
          <w:p>
            <w:pPr>
              <w:spacing w:after="0"/>
              <w:rPr>
                <w:sz w:val="12"/>
                <w:szCs w:val="12"/>
                <w:color w:val="auto"/>
              </w:rPr>
            </w:pPr>
          </w:p>
        </w:tc>
        <w:tc>
          <w:tcPr>
            <w:tcW w:w="940" w:type="dxa"/>
            <w:vAlign w:val="bottom"/>
            <w:gridSpan w:val="2"/>
          </w:tcPr>
          <w:p>
            <w:pPr>
              <w:ind w:left="500"/>
              <w:spacing w:after="0" w:line="144" w:lineRule="exact"/>
              <w:rPr>
                <w:sz w:val="20"/>
                <w:szCs w:val="20"/>
                <w:color w:val="auto"/>
              </w:rPr>
            </w:pPr>
            <w:r>
              <w:rPr>
                <w:rFonts w:ascii="Arial" w:cs="Arial" w:eastAsia="Arial" w:hAnsi="Arial"/>
                <w:sz w:val="13"/>
                <w:szCs w:val="13"/>
                <w:color w:val="auto"/>
              </w:rPr>
              <w:t>36.37</w:t>
            </w:r>
          </w:p>
        </w:tc>
        <w:tc>
          <w:tcPr>
            <w:tcW w:w="90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3,048,080</w:t>
            </w:r>
          </w:p>
        </w:tc>
        <w:tc>
          <w:tcPr>
            <w:tcW w:w="200" w:type="dxa"/>
            <w:vAlign w:val="bottom"/>
          </w:tcPr>
          <w:p>
            <w:pPr>
              <w:spacing w:after="0"/>
              <w:rPr>
                <w:sz w:val="12"/>
                <w:szCs w:val="12"/>
                <w:color w:val="auto"/>
              </w:rPr>
            </w:pPr>
          </w:p>
        </w:tc>
        <w:tc>
          <w:tcPr>
            <w:tcW w:w="9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29.04</w:t>
            </w:r>
          </w:p>
        </w:tc>
        <w:tc>
          <w:tcPr>
            <w:tcW w:w="0" w:type="dxa"/>
            <w:vAlign w:val="bottom"/>
          </w:tcPr>
          <w:p>
            <w:pPr>
              <w:spacing w:after="0"/>
              <w:rPr>
                <w:sz w:val="1"/>
                <w:szCs w:val="1"/>
                <w:color w:val="auto"/>
              </w:rPr>
            </w:pPr>
          </w:p>
        </w:tc>
      </w:tr>
      <w:tr>
        <w:trPr>
          <w:trHeight w:val="144"/>
        </w:trPr>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4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Exercised</w:t>
            </w:r>
          </w:p>
        </w:tc>
        <w:tc>
          <w:tcPr>
            <w:tcW w:w="9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(2,691,968)</w:t>
            </w:r>
          </w:p>
        </w:tc>
        <w:tc>
          <w:tcPr>
            <w:tcW w:w="2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ind w:left="500"/>
              <w:spacing w:after="0" w:line="144" w:lineRule="exact"/>
              <w:rPr>
                <w:sz w:val="20"/>
                <w:szCs w:val="20"/>
                <w:color w:val="auto"/>
              </w:rPr>
            </w:pPr>
            <w:r>
              <w:rPr>
                <w:rFonts w:ascii="Arial" w:cs="Arial" w:eastAsia="Arial" w:hAnsi="Arial"/>
                <w:sz w:val="13"/>
                <w:szCs w:val="13"/>
                <w:color w:val="auto"/>
              </w:rPr>
              <w:t>32.98</w:t>
            </w:r>
          </w:p>
        </w:tc>
        <w:tc>
          <w:tcPr>
            <w:tcW w:w="9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(338,603)</w:t>
            </w:r>
          </w:p>
        </w:tc>
        <w:tc>
          <w:tcPr>
            <w:tcW w:w="2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29.87</w:t>
            </w:r>
          </w:p>
        </w:tc>
        <w:tc>
          <w:tcPr>
            <w:tcW w:w="0" w:type="dxa"/>
            <w:vAlign w:val="bottom"/>
          </w:tcPr>
          <w:p>
            <w:pPr>
              <w:spacing w:after="0"/>
              <w:rPr>
                <w:sz w:val="1"/>
                <w:szCs w:val="1"/>
                <w:color w:val="auto"/>
              </w:rPr>
            </w:pPr>
          </w:p>
        </w:tc>
      </w:tr>
      <w:tr>
        <w:trPr>
          <w:trHeight w:val="144"/>
        </w:trPr>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40" w:type="dxa"/>
            <w:vAlign w:val="bottom"/>
          </w:tcPr>
          <w:p>
            <w:pPr>
              <w:ind w:left="220"/>
              <w:spacing w:after="0" w:line="144" w:lineRule="exact"/>
              <w:rPr>
                <w:sz w:val="20"/>
                <w:szCs w:val="20"/>
                <w:color w:val="auto"/>
              </w:rPr>
            </w:pPr>
            <w:r>
              <w:rPr>
                <w:rFonts w:ascii="Arial" w:cs="Arial" w:eastAsia="Arial" w:hAnsi="Arial"/>
                <w:sz w:val="13"/>
                <w:szCs w:val="13"/>
                <w:color w:val="auto"/>
              </w:rPr>
              <w:t>Forfeited</w:t>
            </w:r>
          </w:p>
        </w:tc>
        <w:tc>
          <w:tcPr>
            <w:tcW w:w="90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(78,781)</w:t>
            </w:r>
          </w:p>
        </w:tc>
        <w:tc>
          <w:tcPr>
            <w:tcW w:w="200" w:type="dxa"/>
            <w:vAlign w:val="bottom"/>
          </w:tcPr>
          <w:p>
            <w:pPr>
              <w:spacing w:after="0"/>
              <w:rPr>
                <w:sz w:val="12"/>
                <w:szCs w:val="12"/>
                <w:color w:val="auto"/>
              </w:rPr>
            </w:pPr>
          </w:p>
        </w:tc>
        <w:tc>
          <w:tcPr>
            <w:tcW w:w="940" w:type="dxa"/>
            <w:vAlign w:val="bottom"/>
            <w:gridSpan w:val="2"/>
          </w:tcPr>
          <w:p>
            <w:pPr>
              <w:ind w:left="500"/>
              <w:spacing w:after="0" w:line="144" w:lineRule="exact"/>
              <w:rPr>
                <w:sz w:val="20"/>
                <w:szCs w:val="20"/>
                <w:color w:val="auto"/>
              </w:rPr>
            </w:pPr>
            <w:r>
              <w:rPr>
                <w:rFonts w:ascii="Arial" w:cs="Arial" w:eastAsia="Arial" w:hAnsi="Arial"/>
                <w:sz w:val="13"/>
                <w:szCs w:val="13"/>
                <w:color w:val="auto"/>
              </w:rPr>
              <w:t>42,27</w:t>
            </w:r>
          </w:p>
        </w:tc>
        <w:tc>
          <w:tcPr>
            <w:tcW w:w="90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(36,514)</w:t>
            </w:r>
          </w:p>
        </w:tc>
        <w:tc>
          <w:tcPr>
            <w:tcW w:w="200" w:type="dxa"/>
            <w:vAlign w:val="bottom"/>
          </w:tcPr>
          <w:p>
            <w:pPr>
              <w:spacing w:after="0"/>
              <w:rPr>
                <w:sz w:val="12"/>
                <w:szCs w:val="12"/>
                <w:color w:val="auto"/>
              </w:rPr>
            </w:pPr>
          </w:p>
        </w:tc>
        <w:tc>
          <w:tcPr>
            <w:tcW w:w="9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43.19</w:t>
            </w:r>
          </w:p>
        </w:tc>
        <w:tc>
          <w:tcPr>
            <w:tcW w:w="0" w:type="dxa"/>
            <w:vAlign w:val="bottom"/>
          </w:tcPr>
          <w:p>
            <w:pPr>
              <w:spacing w:after="0"/>
              <w:rPr>
                <w:sz w:val="1"/>
                <w:szCs w:val="1"/>
                <w:color w:val="auto"/>
              </w:rPr>
            </w:pPr>
          </w:p>
        </w:tc>
      </w:tr>
      <w:tr>
        <w:trPr>
          <w:trHeight w:val="144"/>
        </w:trPr>
        <w:tc>
          <w:tcPr>
            <w:tcW w:w="8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4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Expired</w:t>
            </w:r>
          </w:p>
        </w:tc>
        <w:tc>
          <w:tcPr>
            <w:tcW w:w="9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(2,113,505)</w:t>
            </w:r>
          </w:p>
        </w:tc>
        <w:tc>
          <w:tcPr>
            <w:tcW w:w="2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ind w:left="500"/>
              <w:spacing w:after="0" w:line="144" w:lineRule="exact"/>
              <w:rPr>
                <w:sz w:val="20"/>
                <w:szCs w:val="20"/>
                <w:color w:val="auto"/>
              </w:rPr>
            </w:pPr>
            <w:r>
              <w:rPr>
                <w:rFonts w:ascii="Arial" w:cs="Arial" w:eastAsia="Arial" w:hAnsi="Arial"/>
                <w:sz w:val="13"/>
                <w:szCs w:val="13"/>
                <w:color w:val="auto"/>
              </w:rPr>
              <w:t>76.56</w:t>
            </w:r>
          </w:p>
        </w:tc>
        <w:tc>
          <w:tcPr>
            <w:tcW w:w="90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(2,013,581)</w:t>
            </w:r>
          </w:p>
        </w:tc>
        <w:tc>
          <w:tcPr>
            <w:tcW w:w="2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56.94</w:t>
            </w:r>
          </w:p>
        </w:tc>
        <w:tc>
          <w:tcPr>
            <w:tcW w:w="0" w:type="dxa"/>
            <w:vAlign w:val="bottom"/>
          </w:tcPr>
          <w:p>
            <w:pPr>
              <w:spacing w:after="0"/>
              <w:rPr>
                <w:sz w:val="1"/>
                <w:szCs w:val="1"/>
                <w:color w:val="auto"/>
              </w:rPr>
            </w:pPr>
          </w:p>
        </w:tc>
      </w:tr>
      <w:tr>
        <w:trPr>
          <w:trHeight w:val="26"/>
        </w:trPr>
        <w:tc>
          <w:tcPr>
            <w:tcW w:w="860" w:type="dxa"/>
            <w:vAlign w:val="bottom"/>
          </w:tcPr>
          <w:p>
            <w:pPr>
              <w:spacing w:after="0"/>
              <w:rPr>
                <w:sz w:val="2"/>
                <w:szCs w:val="2"/>
                <w:color w:val="auto"/>
              </w:rPr>
            </w:pPr>
          </w:p>
        </w:tc>
        <w:tc>
          <w:tcPr>
            <w:tcW w:w="280" w:type="dxa"/>
            <w:vAlign w:val="bottom"/>
          </w:tcPr>
          <w:p>
            <w:pPr>
              <w:spacing w:after="0"/>
              <w:rPr>
                <w:sz w:val="2"/>
                <w:szCs w:val="2"/>
                <w:color w:val="auto"/>
              </w:rPr>
            </w:pPr>
          </w:p>
        </w:tc>
        <w:tc>
          <w:tcPr>
            <w:tcW w:w="5040" w:type="dxa"/>
            <w:vAlign w:val="bottom"/>
            <w:vMerge w:val="restart"/>
          </w:tcPr>
          <w:p>
            <w:pPr>
              <w:ind w:left="220"/>
              <w:spacing w:after="0"/>
              <w:rPr>
                <w:sz w:val="20"/>
                <w:szCs w:val="20"/>
                <w:color w:val="auto"/>
              </w:rPr>
            </w:pPr>
            <w:r>
              <w:rPr>
                <w:rFonts w:ascii="Arial" w:cs="Arial" w:eastAsia="Arial" w:hAnsi="Arial"/>
                <w:sz w:val="13"/>
                <w:szCs w:val="13"/>
                <w:color w:val="auto"/>
              </w:rPr>
              <w:t>Outstanding, end of period</w:t>
            </w:r>
          </w:p>
        </w:tc>
        <w:tc>
          <w:tcPr>
            <w:tcW w:w="90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gridSpan w:val="2"/>
          </w:tcPr>
          <w:p>
            <w:pPr>
              <w:spacing w:after="0"/>
              <w:rPr>
                <w:sz w:val="2"/>
                <w:szCs w:val="2"/>
                <w:color w:val="auto"/>
              </w:rPr>
            </w:pPr>
          </w:p>
        </w:tc>
        <w:tc>
          <w:tcPr>
            <w:tcW w:w="90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8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5040" w:type="dxa"/>
            <w:vAlign w:val="bottom"/>
            <w:vMerge w:val="continue"/>
          </w:tcPr>
          <w:p>
            <w:pPr>
              <w:spacing w:after="0"/>
              <w:rPr>
                <w:sz w:val="13"/>
                <w:szCs w:val="13"/>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9,338,033</w:t>
            </w:r>
          </w:p>
        </w:tc>
        <w:tc>
          <w:tcPr>
            <w:tcW w:w="160" w:type="dxa"/>
            <w:vAlign w:val="bottom"/>
          </w:tcPr>
          <w:p>
            <w:pPr>
              <w:spacing w:after="0"/>
              <w:rPr>
                <w:sz w:val="13"/>
                <w:szCs w:val="13"/>
                <w:color w:val="auto"/>
              </w:rPr>
            </w:pPr>
          </w:p>
        </w:tc>
        <w:tc>
          <w:tcPr>
            <w:tcW w:w="2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3"/>
                <w:szCs w:val="13"/>
                <w:color w:val="auto"/>
                <w:w w:val="96"/>
              </w:rPr>
              <w:t>C$</w:t>
            </w:r>
          </w:p>
        </w:tc>
        <w:tc>
          <w:tcPr>
            <w:tcW w:w="780" w:type="dxa"/>
            <w:vAlign w:val="bottom"/>
            <w:tcBorders>
              <w:top w:val="single" w:sz="8" w:color="auto"/>
              <w:bottom w:val="single" w:sz="8" w:color="auto"/>
            </w:tcBorders>
          </w:tcPr>
          <w:p>
            <w:pPr>
              <w:ind w:left="500"/>
              <w:spacing w:after="0"/>
              <w:rPr>
                <w:sz w:val="20"/>
                <w:szCs w:val="20"/>
                <w:color w:val="auto"/>
              </w:rPr>
            </w:pPr>
            <w:r>
              <w:rPr>
                <w:rFonts w:ascii="Arial" w:cs="Arial" w:eastAsia="Arial" w:hAnsi="Arial"/>
                <w:sz w:val="13"/>
                <w:szCs w:val="13"/>
                <w:color w:val="auto"/>
                <w:w w:val="79"/>
              </w:rPr>
              <w:t>37.63</w:t>
            </w:r>
          </w:p>
        </w:tc>
        <w:tc>
          <w:tcPr>
            <w:tcW w:w="160" w:type="dxa"/>
            <w:vAlign w:val="bottom"/>
          </w:tcPr>
          <w:p>
            <w:pPr>
              <w:spacing w:after="0"/>
              <w:rPr>
                <w:sz w:val="13"/>
                <w:szCs w:val="13"/>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12,572,592</w:t>
            </w:r>
          </w:p>
        </w:tc>
        <w:tc>
          <w:tcPr>
            <w:tcW w:w="140" w:type="dxa"/>
            <w:vAlign w:val="bottom"/>
          </w:tcPr>
          <w:p>
            <w:pPr>
              <w:spacing w:after="0"/>
              <w:rPr>
                <w:sz w:val="13"/>
                <w:szCs w:val="13"/>
                <w:color w:val="auto"/>
              </w:rPr>
            </w:pPr>
          </w:p>
        </w:tc>
        <w:tc>
          <w:tcPr>
            <w:tcW w:w="2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3"/>
                <w:szCs w:val="13"/>
                <w:color w:val="auto"/>
                <w:w w:val="96"/>
              </w:rPr>
              <w:t>C$</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43.27</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8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4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8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5040" w:type="dxa"/>
            <w:vAlign w:val="bottom"/>
            <w:shd w:val="clear" w:color="auto" w:fill="CCEEFF"/>
          </w:tcPr>
          <w:p>
            <w:pPr>
              <w:ind w:left="220"/>
              <w:spacing w:after="0" w:line="126" w:lineRule="exact"/>
              <w:rPr>
                <w:sz w:val="20"/>
                <w:szCs w:val="20"/>
                <w:color w:val="auto"/>
              </w:rPr>
            </w:pPr>
            <w:r>
              <w:rPr>
                <w:rFonts w:ascii="Arial" w:cs="Arial" w:eastAsia="Arial" w:hAnsi="Arial"/>
                <w:sz w:val="13"/>
                <w:szCs w:val="13"/>
                <w:color w:val="auto"/>
              </w:rPr>
              <w:t>Options exercisable, end of period</w:t>
            </w:r>
          </w:p>
        </w:tc>
        <w:tc>
          <w:tcPr>
            <w:tcW w:w="90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5,413,217</w:t>
            </w:r>
          </w:p>
        </w:tc>
        <w:tc>
          <w:tcPr>
            <w:tcW w:w="200" w:type="dxa"/>
            <w:vAlign w:val="bottom"/>
            <w:shd w:val="clear" w:color="auto" w:fill="CCEEFF"/>
          </w:tcPr>
          <w:p>
            <w:pPr>
              <w:ind w:left="20"/>
              <w:spacing w:after="0" w:line="126" w:lineRule="exact"/>
              <w:rPr>
                <w:sz w:val="20"/>
                <w:szCs w:val="20"/>
                <w:color w:val="auto"/>
              </w:rPr>
            </w:pPr>
            <w:r>
              <w:rPr>
                <w:rFonts w:ascii="Arial" w:cs="Arial" w:eastAsia="Arial" w:hAnsi="Arial"/>
                <w:sz w:val="13"/>
                <w:szCs w:val="13"/>
                <w:color w:val="auto"/>
                <w:w w:val="96"/>
              </w:rPr>
              <w:t>C$</w:t>
            </w:r>
          </w:p>
        </w:tc>
        <w:tc>
          <w:tcPr>
            <w:tcW w:w="940" w:type="dxa"/>
            <w:vAlign w:val="bottom"/>
            <w:gridSpan w:val="2"/>
            <w:shd w:val="clear" w:color="auto" w:fill="CCEEFF"/>
          </w:tcPr>
          <w:p>
            <w:pPr>
              <w:ind w:left="500"/>
              <w:spacing w:after="0" w:line="126" w:lineRule="exact"/>
              <w:rPr>
                <w:sz w:val="20"/>
                <w:szCs w:val="20"/>
                <w:color w:val="auto"/>
              </w:rPr>
            </w:pPr>
            <w:r>
              <w:rPr>
                <w:rFonts w:ascii="Arial" w:cs="Arial" w:eastAsia="Arial" w:hAnsi="Arial"/>
                <w:sz w:val="13"/>
                <w:szCs w:val="13"/>
                <w:color w:val="auto"/>
              </w:rPr>
              <w:t>41.80</w:t>
            </w:r>
          </w:p>
        </w:tc>
        <w:tc>
          <w:tcPr>
            <w:tcW w:w="90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7,972,825</w:t>
            </w:r>
          </w:p>
        </w:tc>
        <w:tc>
          <w:tcPr>
            <w:tcW w:w="200" w:type="dxa"/>
            <w:vAlign w:val="bottom"/>
            <w:shd w:val="clear" w:color="auto" w:fill="CCEEFF"/>
          </w:tcPr>
          <w:p>
            <w:pPr>
              <w:ind w:left="20"/>
              <w:spacing w:after="0" w:line="126" w:lineRule="exact"/>
              <w:rPr>
                <w:sz w:val="20"/>
                <w:szCs w:val="20"/>
                <w:color w:val="auto"/>
              </w:rPr>
            </w:pPr>
            <w:r>
              <w:rPr>
                <w:rFonts w:ascii="Arial" w:cs="Arial" w:eastAsia="Arial" w:hAnsi="Arial"/>
                <w:sz w:val="13"/>
                <w:szCs w:val="13"/>
                <w:color w:val="auto"/>
                <w:w w:val="96"/>
              </w:rPr>
              <w:t>C$</w:t>
            </w:r>
          </w:p>
        </w:tc>
        <w:tc>
          <w:tcPr>
            <w:tcW w:w="94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49.76</w:t>
            </w:r>
          </w:p>
        </w:tc>
        <w:tc>
          <w:tcPr>
            <w:tcW w:w="0" w:type="dxa"/>
            <w:vAlign w:val="bottom"/>
          </w:tcPr>
          <w:p>
            <w:pPr>
              <w:spacing w:after="0"/>
              <w:rPr>
                <w:sz w:val="1"/>
                <w:szCs w:val="1"/>
                <w:color w:val="auto"/>
              </w:rPr>
            </w:pPr>
          </w:p>
        </w:tc>
      </w:tr>
      <w:tr>
        <w:trPr>
          <w:trHeight w:val="26"/>
        </w:trPr>
        <w:tc>
          <w:tcPr>
            <w:tcW w:w="860" w:type="dxa"/>
            <w:vAlign w:val="bottom"/>
          </w:tcPr>
          <w:p>
            <w:pPr>
              <w:spacing w:after="0"/>
              <w:rPr>
                <w:sz w:val="2"/>
                <w:szCs w:val="2"/>
                <w:color w:val="auto"/>
              </w:rPr>
            </w:pPr>
          </w:p>
        </w:tc>
        <w:tc>
          <w:tcPr>
            <w:tcW w:w="280" w:type="dxa"/>
            <w:vAlign w:val="bottom"/>
          </w:tcPr>
          <w:p>
            <w:pPr>
              <w:spacing w:after="0"/>
              <w:rPr>
                <w:sz w:val="2"/>
                <w:szCs w:val="2"/>
                <w:color w:val="auto"/>
              </w:rPr>
            </w:pPr>
          </w:p>
        </w:tc>
        <w:tc>
          <w:tcPr>
            <w:tcW w:w="5040" w:type="dxa"/>
            <w:vAlign w:val="bottom"/>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8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4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 average share price of Agnico Eagle's common shares during the three months ended March 31, 2016 was C$44.83 (three months ended March 31, 2015 — C$38.20)</w:t>
      </w:r>
    </w:p>
    <w:p>
      <w:pPr>
        <w:spacing w:after="0" w:line="204" w:lineRule="exact"/>
        <w:rPr>
          <w:sz w:val="20"/>
          <w:szCs w:val="20"/>
          <w:color w:val="auto"/>
        </w:rPr>
      </w:pPr>
    </w:p>
    <w:p>
      <w:pPr>
        <w:ind w:left="520"/>
        <w:spacing w:after="0"/>
        <w:rPr>
          <w:sz w:val="20"/>
          <w:szCs w:val="20"/>
          <w:color w:val="auto"/>
        </w:rPr>
      </w:pPr>
      <w:r>
        <w:rPr>
          <w:rFonts w:ascii="Arial" w:cs="Arial" w:eastAsia="Arial" w:hAnsi="Arial"/>
          <w:sz w:val="13"/>
          <w:szCs w:val="13"/>
          <w:color w:val="auto"/>
        </w:rPr>
        <w:t>Agnico Eagle estimated the fair value of stock options under the Black-Scholes option pricing model using the following weighted average assumptions:</w:t>
      </w:r>
    </w:p>
    <w:p>
      <w:pPr>
        <w:spacing w:after="0" w:line="195"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7320" w:type="dxa"/>
            <w:vAlign w:val="bottom"/>
          </w:tcPr>
          <w:p>
            <w:pPr>
              <w:spacing w:after="0"/>
              <w:rPr>
                <w:sz w:val="13"/>
                <w:szCs w:val="13"/>
                <w:color w:val="auto"/>
              </w:rPr>
            </w:pPr>
          </w:p>
        </w:tc>
        <w:tc>
          <w:tcPr>
            <w:tcW w:w="1800" w:type="dxa"/>
            <w:vAlign w:val="bottom"/>
            <w:gridSpan w:val="5"/>
          </w:tcPr>
          <w:p>
            <w:pPr>
              <w:ind w:left="240"/>
              <w:spacing w:after="0"/>
              <w:rPr>
                <w:sz w:val="20"/>
                <w:szCs w:val="20"/>
                <w:color w:val="auto"/>
              </w:rPr>
            </w:pPr>
            <w:r>
              <w:rPr>
                <w:rFonts w:ascii="Arial" w:cs="Arial" w:eastAsia="Arial" w:hAnsi="Arial"/>
                <w:sz w:val="13"/>
                <w:szCs w:val="13"/>
                <w:b w:val="1"/>
                <w:bCs w:val="1"/>
                <w:color w:val="auto"/>
              </w:rPr>
              <w:t>Three Months Ended</w:t>
            </w:r>
          </w:p>
        </w:tc>
      </w:tr>
      <w:tr>
        <w:trPr>
          <w:trHeight w:val="157"/>
        </w:trPr>
        <w:tc>
          <w:tcPr>
            <w:tcW w:w="7320" w:type="dxa"/>
            <w:vAlign w:val="bottom"/>
          </w:tcPr>
          <w:p>
            <w:pPr>
              <w:spacing w:after="0"/>
              <w:rPr>
                <w:sz w:val="13"/>
                <w:szCs w:val="13"/>
                <w:color w:val="auto"/>
              </w:rPr>
            </w:pPr>
          </w:p>
        </w:tc>
        <w:tc>
          <w:tcPr>
            <w:tcW w:w="1140" w:type="dxa"/>
            <w:vAlign w:val="bottom"/>
            <w:tcBorders>
              <w:bottom w:val="single" w:sz="8" w:color="auto"/>
            </w:tcBorders>
            <w:gridSpan w:val="3"/>
          </w:tcPr>
          <w:p>
            <w:pPr>
              <w:ind w:left="540"/>
              <w:spacing w:after="0"/>
              <w:rPr>
                <w:sz w:val="20"/>
                <w:szCs w:val="20"/>
                <w:color w:val="auto"/>
              </w:rPr>
            </w:pPr>
            <w:r>
              <w:rPr>
                <w:rFonts w:ascii="Arial" w:cs="Arial" w:eastAsia="Arial" w:hAnsi="Arial"/>
                <w:sz w:val="13"/>
                <w:szCs w:val="13"/>
                <w:b w:val="1"/>
                <w:bCs w:val="1"/>
                <w:color w:val="auto"/>
                <w:w w:val="96"/>
              </w:rPr>
              <w:t>March 31,</w:t>
            </w:r>
          </w:p>
        </w:tc>
        <w:tc>
          <w:tcPr>
            <w:tcW w:w="52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r>
      <w:tr>
        <w:trPr>
          <w:trHeight w:val="137"/>
        </w:trPr>
        <w:tc>
          <w:tcPr>
            <w:tcW w:w="7320" w:type="dxa"/>
            <w:vAlign w:val="bottom"/>
          </w:tcPr>
          <w:p>
            <w:pPr>
              <w:spacing w:after="0"/>
              <w:rPr>
                <w:sz w:val="11"/>
                <w:szCs w:val="11"/>
                <w:color w:val="auto"/>
              </w:rPr>
            </w:pPr>
          </w:p>
        </w:tc>
        <w:tc>
          <w:tcPr>
            <w:tcW w:w="740" w:type="dxa"/>
            <w:vAlign w:val="bottom"/>
            <w:tcBorders>
              <w:bottom w:val="single" w:sz="8" w:color="auto"/>
            </w:tcBorders>
          </w:tcPr>
          <w:p>
            <w:pPr>
              <w:ind w:left="240"/>
              <w:spacing w:after="0" w:line="138" w:lineRule="exact"/>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520" w:type="dxa"/>
            <w:vAlign w:val="bottom"/>
            <w:tcBorders>
              <w:bottom w:val="single" w:sz="8" w:color="auto"/>
            </w:tcBorders>
          </w:tcPr>
          <w:p>
            <w:pPr>
              <w:jc w:val="right"/>
              <w:ind w:right="174"/>
              <w:spacing w:after="0" w:line="138" w:lineRule="exact"/>
              <w:rPr>
                <w:sz w:val="20"/>
                <w:szCs w:val="20"/>
                <w:color w:val="auto"/>
              </w:rPr>
            </w:pPr>
            <w:r>
              <w:rPr>
                <w:rFonts w:ascii="Arial" w:cs="Arial" w:eastAsia="Arial" w:hAnsi="Arial"/>
                <w:sz w:val="13"/>
                <w:szCs w:val="13"/>
                <w:b w:val="1"/>
                <w:bCs w:val="1"/>
                <w:color w:val="auto"/>
                <w:w w:val="89"/>
              </w:rPr>
              <w:t>2015</w:t>
            </w:r>
          </w:p>
        </w:tc>
        <w:tc>
          <w:tcPr>
            <w:tcW w:w="140" w:type="dxa"/>
            <w:vAlign w:val="bottom"/>
          </w:tcPr>
          <w:p>
            <w:pPr>
              <w:spacing w:after="0"/>
              <w:rPr>
                <w:sz w:val="11"/>
                <w:szCs w:val="11"/>
                <w:color w:val="auto"/>
              </w:rPr>
            </w:pPr>
          </w:p>
        </w:tc>
      </w:tr>
      <w:tr>
        <w:trPr>
          <w:trHeight w:val="137"/>
        </w:trPr>
        <w:tc>
          <w:tcPr>
            <w:tcW w:w="7320" w:type="dxa"/>
            <w:vAlign w:val="bottom"/>
            <w:shd w:val="clear" w:color="auto" w:fill="CCEEFF"/>
          </w:tcPr>
          <w:p>
            <w:pPr>
              <w:ind w:left="220"/>
              <w:spacing w:after="0" w:line="138" w:lineRule="exact"/>
              <w:rPr>
                <w:sz w:val="20"/>
                <w:szCs w:val="20"/>
                <w:color w:val="auto"/>
              </w:rPr>
            </w:pPr>
            <w:r>
              <w:rPr>
                <w:rFonts w:ascii="Arial" w:cs="Arial" w:eastAsia="Arial" w:hAnsi="Arial"/>
                <w:sz w:val="13"/>
                <w:szCs w:val="13"/>
                <w:color w:val="auto"/>
              </w:rPr>
              <w:t>Risk-free interest rate</w:t>
            </w:r>
          </w:p>
        </w:tc>
        <w:tc>
          <w:tcPr>
            <w:tcW w:w="90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0.89%</w:t>
            </w:r>
          </w:p>
        </w:tc>
        <w:tc>
          <w:tcPr>
            <w:tcW w:w="240" w:type="dxa"/>
            <w:vAlign w:val="bottom"/>
            <w:shd w:val="clear" w:color="auto" w:fill="CCEEFF"/>
          </w:tcPr>
          <w:p>
            <w:pPr>
              <w:spacing w:after="0"/>
              <w:rPr>
                <w:sz w:val="11"/>
                <w:szCs w:val="11"/>
                <w:color w:val="auto"/>
              </w:rPr>
            </w:pPr>
          </w:p>
        </w:tc>
        <w:tc>
          <w:tcPr>
            <w:tcW w:w="660" w:type="dxa"/>
            <w:vAlign w:val="bottom"/>
            <w:gridSpan w:val="2"/>
            <w:shd w:val="clear" w:color="auto" w:fill="CCEEFF"/>
          </w:tcPr>
          <w:p>
            <w:pPr>
              <w:jc w:val="right"/>
              <w:ind w:right="140"/>
              <w:spacing w:after="0" w:line="138" w:lineRule="exact"/>
              <w:rPr>
                <w:sz w:val="20"/>
                <w:szCs w:val="20"/>
                <w:color w:val="auto"/>
              </w:rPr>
            </w:pPr>
            <w:r>
              <w:rPr>
                <w:rFonts w:ascii="Arial" w:cs="Arial" w:eastAsia="Arial" w:hAnsi="Arial"/>
                <w:sz w:val="13"/>
                <w:szCs w:val="13"/>
                <w:color w:val="auto"/>
              </w:rPr>
              <w:t>1.51%</w:t>
            </w:r>
          </w:p>
        </w:tc>
      </w:tr>
      <w:tr>
        <w:trPr>
          <w:trHeight w:val="144"/>
        </w:trPr>
        <w:tc>
          <w:tcPr>
            <w:tcW w:w="7320" w:type="dxa"/>
            <w:vAlign w:val="bottom"/>
          </w:tcPr>
          <w:p>
            <w:pPr>
              <w:ind w:left="220"/>
              <w:spacing w:after="0" w:line="144" w:lineRule="exact"/>
              <w:rPr>
                <w:sz w:val="20"/>
                <w:szCs w:val="20"/>
                <w:color w:val="auto"/>
              </w:rPr>
            </w:pPr>
            <w:r>
              <w:rPr>
                <w:rFonts w:ascii="Arial" w:cs="Arial" w:eastAsia="Arial" w:hAnsi="Arial"/>
                <w:sz w:val="13"/>
                <w:szCs w:val="13"/>
                <w:color w:val="auto"/>
              </w:rPr>
              <w:t>Expected life of stock options (in years)</w:t>
            </w:r>
          </w:p>
        </w:tc>
        <w:tc>
          <w:tcPr>
            <w:tcW w:w="90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2.5</w:t>
            </w:r>
          </w:p>
        </w:tc>
        <w:tc>
          <w:tcPr>
            <w:tcW w:w="240" w:type="dxa"/>
            <w:vAlign w:val="bottom"/>
          </w:tcPr>
          <w:p>
            <w:pPr>
              <w:spacing w:after="0"/>
              <w:rPr>
                <w:sz w:val="12"/>
                <w:szCs w:val="12"/>
                <w:color w:val="auto"/>
              </w:rPr>
            </w:pPr>
          </w:p>
        </w:tc>
        <w:tc>
          <w:tcPr>
            <w:tcW w:w="66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2.7</w:t>
            </w:r>
          </w:p>
        </w:tc>
      </w:tr>
      <w:tr>
        <w:trPr>
          <w:trHeight w:val="144"/>
        </w:trPr>
        <w:tc>
          <w:tcPr>
            <w:tcW w:w="732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Expected volatility of Agnico Eagle's share price</w:t>
            </w:r>
          </w:p>
        </w:tc>
        <w:tc>
          <w:tcPr>
            <w:tcW w:w="90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45.0%</w:t>
            </w:r>
          </w:p>
        </w:tc>
        <w:tc>
          <w:tcPr>
            <w:tcW w:w="24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45.0%</w:t>
            </w:r>
          </w:p>
        </w:tc>
      </w:tr>
      <w:tr>
        <w:trPr>
          <w:trHeight w:val="165"/>
        </w:trPr>
        <w:tc>
          <w:tcPr>
            <w:tcW w:w="7320" w:type="dxa"/>
            <w:vAlign w:val="bottom"/>
          </w:tcPr>
          <w:p>
            <w:pPr>
              <w:ind w:left="220"/>
              <w:spacing w:after="0"/>
              <w:rPr>
                <w:sz w:val="20"/>
                <w:szCs w:val="20"/>
                <w:color w:val="auto"/>
              </w:rPr>
            </w:pPr>
            <w:r>
              <w:rPr>
                <w:rFonts w:ascii="Arial" w:cs="Arial" w:eastAsia="Arial" w:hAnsi="Arial"/>
                <w:sz w:val="13"/>
                <w:szCs w:val="13"/>
                <w:color w:val="auto"/>
              </w:rPr>
              <w:t>Expected dividend yield</w:t>
            </w:r>
          </w:p>
        </w:tc>
        <w:tc>
          <w:tcPr>
            <w:tcW w:w="900" w:type="dxa"/>
            <w:vAlign w:val="bottom"/>
            <w:gridSpan w:val="2"/>
          </w:tcPr>
          <w:p>
            <w:pPr>
              <w:jc w:val="right"/>
              <w:ind w:right="140"/>
              <w:spacing w:after="0"/>
              <w:rPr>
                <w:sz w:val="20"/>
                <w:szCs w:val="20"/>
                <w:color w:val="auto"/>
              </w:rPr>
            </w:pPr>
            <w:r>
              <w:rPr>
                <w:rFonts w:ascii="Arial" w:cs="Arial" w:eastAsia="Arial" w:hAnsi="Arial"/>
                <w:sz w:val="13"/>
                <w:szCs w:val="13"/>
                <w:color w:val="auto"/>
              </w:rPr>
              <w:t>1.33%</w:t>
            </w:r>
          </w:p>
        </w:tc>
        <w:tc>
          <w:tcPr>
            <w:tcW w:w="240" w:type="dxa"/>
            <w:vAlign w:val="bottom"/>
          </w:tcPr>
          <w:p>
            <w:pPr>
              <w:spacing w:after="0"/>
              <w:rPr>
                <w:sz w:val="14"/>
                <w:szCs w:val="14"/>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3"/>
                <w:szCs w:val="13"/>
                <w:color w:val="auto"/>
              </w:rPr>
              <w:t>1.70%</w:t>
            </w:r>
          </w:p>
        </w:tc>
      </w:tr>
    </w:tbl>
    <w:p>
      <w:pPr>
        <w:spacing w:after="0" w:line="180"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The Company uses historical volatility to estimate the expected volatility of Agnico Eagle's share price. The expected term of stock options granted is derived from historical data on employee exercise and post-vesting employment termination experience.</w:t>
      </w:r>
    </w:p>
    <w:p>
      <w:pPr>
        <w:spacing w:after="0" w:line="179" w:lineRule="exact"/>
        <w:rPr>
          <w:sz w:val="20"/>
          <w:szCs w:val="20"/>
          <w:color w:val="auto"/>
        </w:rPr>
      </w:pPr>
    </w:p>
    <w:p>
      <w:pPr>
        <w:jc w:val="both"/>
        <w:ind w:left="520"/>
        <w:spacing w:after="0" w:line="274" w:lineRule="auto"/>
        <w:rPr>
          <w:sz w:val="20"/>
          <w:szCs w:val="20"/>
          <w:color w:val="auto"/>
        </w:rPr>
      </w:pPr>
      <w:r>
        <w:rPr>
          <w:rFonts w:ascii="Arial" w:cs="Arial" w:eastAsia="Arial" w:hAnsi="Arial"/>
          <w:sz w:val="12"/>
          <w:szCs w:val="12"/>
          <w:color w:val="auto"/>
        </w:rPr>
        <w:t>The total compensation expense for the ESOP recorded in the general and administrative line item of the condensed interim consolidated statements of income and comprehensive income during the three months ended March 31, 2016 was $6.0 million (three months ended March 31, 2015 — $8.0 million). Of the total compensation cost for the ESOP, $0.1 million was capitalized as part of the property, plant and mine development line item of the condensed interim consolidated balance sheets for the three months ended March 31, 2016 (three months ended March 31, 2015 — $0.2 million).</w:t>
      </w:r>
    </w:p>
    <w:p>
      <w:pPr>
        <w:spacing w:after="0" w:line="157" w:lineRule="exact"/>
        <w:rPr>
          <w:sz w:val="20"/>
          <w:szCs w:val="20"/>
          <w:color w:val="auto"/>
        </w:rPr>
      </w:pPr>
    </w:p>
    <w:p>
      <w:pPr>
        <w:ind w:left="1060" w:hanging="531"/>
        <w:spacing w:after="0"/>
        <w:tabs>
          <w:tab w:leader="none" w:pos="1060" w:val="left"/>
        </w:tabs>
        <w:numPr>
          <w:ilvl w:val="0"/>
          <w:numId w:val="18"/>
        </w:numPr>
        <w:rPr>
          <w:rFonts w:ascii="Arial" w:cs="Arial" w:eastAsia="Arial" w:hAnsi="Arial"/>
          <w:sz w:val="13"/>
          <w:szCs w:val="13"/>
          <w:b w:val="1"/>
          <w:bCs w:val="1"/>
          <w:i w:val="1"/>
          <w:iCs w:val="1"/>
          <w:color w:val="auto"/>
        </w:rPr>
      </w:pPr>
      <w:r>
        <w:rPr>
          <w:rFonts w:ascii="Arial" w:cs="Arial" w:eastAsia="Arial" w:hAnsi="Arial"/>
          <w:sz w:val="13"/>
          <w:szCs w:val="13"/>
          <w:b w:val="1"/>
          <w:bCs w:val="1"/>
          <w:i w:val="1"/>
          <w:iCs w:val="1"/>
          <w:color w:val="auto"/>
        </w:rPr>
        <w:t>Incentive Share Purchase Plan ("ISPP")</w:t>
      </w:r>
    </w:p>
    <w:p>
      <w:pPr>
        <w:spacing w:after="0" w:line="204"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During the three months ended March 31, 2016, 103,906 common shares were subscribed for under the ISPP (three months ended March 31, 2015 — 124,791) for a value of $3.8 million (three months ended March 31, 2015 — $3.6 million). The total compensation cost recognized during the three months ended March 31, 2016 related to the ISPP was $1.3 million (three months ended March 31, 2015 — $1.2 million).</w:t>
      </w:r>
    </w:p>
    <w:p>
      <w:pPr>
        <w:spacing w:after="0" w:line="175" w:lineRule="exact"/>
        <w:rPr>
          <w:sz w:val="20"/>
          <w:szCs w:val="20"/>
          <w:color w:val="auto"/>
        </w:rPr>
      </w:pPr>
    </w:p>
    <w:p>
      <w:pPr>
        <w:ind w:left="1060" w:hanging="531"/>
        <w:spacing w:after="0"/>
        <w:tabs>
          <w:tab w:leader="none" w:pos="1060" w:val="left"/>
        </w:tabs>
        <w:numPr>
          <w:ilvl w:val="0"/>
          <w:numId w:val="19"/>
        </w:numPr>
        <w:rPr>
          <w:rFonts w:ascii="Arial" w:cs="Arial" w:eastAsia="Arial" w:hAnsi="Arial"/>
          <w:sz w:val="13"/>
          <w:szCs w:val="13"/>
          <w:b w:val="1"/>
          <w:bCs w:val="1"/>
          <w:i w:val="1"/>
          <w:iCs w:val="1"/>
          <w:color w:val="auto"/>
        </w:rPr>
      </w:pPr>
      <w:r>
        <w:rPr>
          <w:rFonts w:ascii="Arial" w:cs="Arial" w:eastAsia="Arial" w:hAnsi="Arial"/>
          <w:sz w:val="13"/>
          <w:szCs w:val="13"/>
          <w:b w:val="1"/>
          <w:bCs w:val="1"/>
          <w:i w:val="1"/>
          <w:iCs w:val="1"/>
          <w:color w:val="auto"/>
        </w:rPr>
        <w:t>Restricted Share Unit ("RSU") Plan</w:t>
      </w:r>
    </w:p>
    <w:p>
      <w:pPr>
        <w:spacing w:after="0" w:line="204" w:lineRule="exact"/>
        <w:rPr>
          <w:sz w:val="20"/>
          <w:szCs w:val="20"/>
          <w:color w:val="auto"/>
        </w:rPr>
      </w:pPr>
    </w:p>
    <w:p>
      <w:pPr>
        <w:jc w:val="both"/>
        <w:ind w:left="520"/>
        <w:spacing w:after="0" w:line="243" w:lineRule="auto"/>
        <w:rPr>
          <w:sz w:val="20"/>
          <w:szCs w:val="20"/>
          <w:color w:val="auto"/>
        </w:rPr>
      </w:pPr>
      <w:r>
        <w:rPr>
          <w:rFonts w:ascii="Arial" w:cs="Arial" w:eastAsia="Arial" w:hAnsi="Arial"/>
          <w:sz w:val="13"/>
          <w:szCs w:val="13"/>
          <w:color w:val="auto"/>
        </w:rPr>
        <w:t>During the three months ended March 31, 2016, 340,042 (three months ended March 31, 2015 — 382,358) RSUs were granted with a grant date fair value of $9.5 million (three months ended March 31, 2015 — $10.6 million). In the first quarter of 2016, the Company funded the RSU plan by transferring $9.5 million (first quarter of 2015 — $10.3 million) to an employee benefit trust that then purchased common shares of the Company in the open market.</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9" w:name="page40"/>
    <w:bookmarkEnd w:id="39"/>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March 31, 2016</w:t>
      </w:r>
    </w:p>
    <w:p>
      <w:pPr>
        <w:spacing w:after="0" w:line="21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11.  STOCK-BASED COMPENSATION (Continued)</w:t>
      </w:r>
    </w:p>
    <w:p>
      <w:pPr>
        <w:spacing w:after="0" w:line="208"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Compensation expense related to the RSU plan was $2.4 million for the three months ended March 31, 2016 (three months ended March 31, 2015 — $2.8 million). Compensation expense related to the RSU plan is included as part of the general and administrative line item of the condensed interim consolidated statements of income and comprehensive income.</w:t>
      </w:r>
    </w:p>
    <w:p>
      <w:pPr>
        <w:spacing w:after="0" w:line="166" w:lineRule="exact"/>
        <w:rPr>
          <w:sz w:val="20"/>
          <w:szCs w:val="20"/>
          <w:color w:val="auto"/>
        </w:rPr>
      </w:pPr>
    </w:p>
    <w:p>
      <w:pPr>
        <w:ind w:left="1060" w:hanging="531"/>
        <w:spacing w:after="0"/>
        <w:tabs>
          <w:tab w:leader="none" w:pos="1060" w:val="left"/>
        </w:tabs>
        <w:numPr>
          <w:ilvl w:val="0"/>
          <w:numId w:val="20"/>
        </w:numPr>
        <w:rPr>
          <w:rFonts w:ascii="Arial" w:cs="Arial" w:eastAsia="Arial" w:hAnsi="Arial"/>
          <w:sz w:val="13"/>
          <w:szCs w:val="13"/>
          <w:b w:val="1"/>
          <w:bCs w:val="1"/>
          <w:i w:val="1"/>
          <w:iCs w:val="1"/>
          <w:color w:val="auto"/>
        </w:rPr>
      </w:pPr>
      <w:r>
        <w:rPr>
          <w:rFonts w:ascii="Arial" w:cs="Arial" w:eastAsia="Arial" w:hAnsi="Arial"/>
          <w:sz w:val="13"/>
          <w:szCs w:val="13"/>
          <w:b w:val="1"/>
          <w:bCs w:val="1"/>
          <w:i w:val="1"/>
          <w:iCs w:val="1"/>
          <w:color w:val="auto"/>
        </w:rPr>
        <w:t>Performance Share Unit Plan</w:t>
      </w:r>
    </w:p>
    <w:p>
      <w:pPr>
        <w:spacing w:after="0" w:line="204"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Beginning in 2016, the Company adopted a Performance Share Unit ("PSU") Plan for Senior Executives. PSUs are subject to vesting requirements based on specific performance measurements established by the Company. The fair value for the portion of the PSUs related to market conditions is based on the application of pricing models at the grant date and the fair value for the portion related to non-market conditions is based on the market value of the shares at the grant date. Compensation expense is based on the current best estimate of the outcome for the specific performance measurement established by the Company and is recognized over the vesting period based on the number of units estimated to vest.</w:t>
      </w:r>
    </w:p>
    <w:p>
      <w:pPr>
        <w:spacing w:after="0" w:line="191"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During the three months ended March 31, 2016, 183,000 (three months ended March 31, 2015 — nil) PSUs were granted. In the first quarter of 2016, the Company funded the PSU plan by transferring $5.3 million (first quarter of 2015 — nil) to an employee benefit trust that then purchased common shares of the Company in the open market.</w:t>
      </w:r>
    </w:p>
    <w:p>
      <w:pPr>
        <w:spacing w:after="0" w:line="179"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Compensation expense related to the PSU plan was $0.4 million for the three months ended March 31, 2016 (three months ended March 31, 2015 — nil). Compensation expense related to the PSU plan is included as part of the general and administrative line item of the condensed interim consolidated statements of income and comprehensive income.</w:t>
      </w:r>
    </w:p>
    <w:p>
      <w:pPr>
        <w:spacing w:after="0" w:line="175" w:lineRule="exact"/>
        <w:rPr>
          <w:sz w:val="20"/>
          <w:szCs w:val="20"/>
          <w:color w:val="auto"/>
        </w:rPr>
      </w:pPr>
    </w:p>
    <w:p>
      <w:pPr>
        <w:ind w:left="520" w:right="8580" w:hanging="515"/>
        <w:spacing w:after="0" w:line="571" w:lineRule="auto"/>
        <w:tabs>
          <w:tab w:leader="none" w:pos="258" w:val="left"/>
        </w:tabs>
        <w:numPr>
          <w:ilvl w:val="0"/>
          <w:numId w:val="21"/>
        </w:numPr>
        <w:rPr>
          <w:rFonts w:ascii="Arial" w:cs="Arial" w:eastAsia="Arial" w:hAnsi="Arial"/>
          <w:sz w:val="13"/>
          <w:szCs w:val="13"/>
          <w:b w:val="1"/>
          <w:bCs w:val="1"/>
          <w:color w:val="auto"/>
        </w:rPr>
      </w:pPr>
      <w:r>
        <w:rPr>
          <w:rFonts w:ascii="Arial" w:cs="Arial" w:eastAsia="Arial" w:hAnsi="Arial"/>
          <w:sz w:val="13"/>
          <w:szCs w:val="13"/>
          <w:b w:val="1"/>
          <w:bCs w:val="1"/>
          <w:color w:val="auto"/>
        </w:rPr>
        <w:t xml:space="preserve">DERIVATIVE FINANCIAL INSTRUMENTS </w:t>
      </w:r>
      <w:r>
        <w:rPr>
          <w:rFonts w:ascii="Arial" w:cs="Arial" w:eastAsia="Arial" w:hAnsi="Arial"/>
          <w:sz w:val="13"/>
          <w:szCs w:val="13"/>
          <w:b w:val="1"/>
          <w:bCs w:val="1"/>
          <w:i w:val="1"/>
          <w:iCs w:val="1"/>
          <w:color w:val="auto"/>
        </w:rPr>
        <w:t>Currency Risk Management</w:t>
      </w:r>
    </w:p>
    <w:p>
      <w:pPr>
        <w:spacing w:after="0" w:line="1" w:lineRule="exact"/>
        <w:rPr>
          <w:sz w:val="20"/>
          <w:szCs w:val="20"/>
          <w:color w:val="auto"/>
        </w:rPr>
      </w:pPr>
    </w:p>
    <w:p>
      <w:pPr>
        <w:jc w:val="both"/>
        <w:ind w:left="520"/>
        <w:spacing w:after="0" w:line="266" w:lineRule="auto"/>
        <w:rPr>
          <w:sz w:val="20"/>
          <w:szCs w:val="20"/>
          <w:color w:val="auto"/>
        </w:rPr>
      </w:pPr>
      <w:r>
        <w:rPr>
          <w:rFonts w:ascii="Arial" w:cs="Arial" w:eastAsia="Arial" w:hAnsi="Arial"/>
          <w:sz w:val="12"/>
          <w:szCs w:val="12"/>
          <w:color w:val="auto"/>
        </w:rPr>
        <w:t>The Company utilizes foreign exchange economic hedges to reduce the variability in expected future cash flows arising from changes in foreign currency exchange rates. The Company is primarily exposed to currency fluctuations relative to the US dollar as a portion of the Company's operating costs and capital expenditures are denominated in foreign currencies; primarily the Canadian dollar, the Euro and the Mexican peso. These potential currency fluctuations increase the volatility of, and could have a significant impact on, the Company's production costs. The economic hedges relate to a portion of the foreign currency denominated cash outflows arising from foreign currency denominated expenditures. The Company does not apply hedge accounting to these arrangements.</w:t>
      </w:r>
    </w:p>
    <w:p>
      <w:pPr>
        <w:spacing w:after="0" w:line="175" w:lineRule="exact"/>
        <w:rPr>
          <w:sz w:val="20"/>
          <w:szCs w:val="20"/>
          <w:color w:val="auto"/>
        </w:rPr>
      </w:pPr>
    </w:p>
    <w:p>
      <w:pPr>
        <w:jc w:val="both"/>
        <w:ind w:left="520"/>
        <w:spacing w:after="0" w:line="238" w:lineRule="auto"/>
        <w:rPr>
          <w:sz w:val="20"/>
          <w:szCs w:val="20"/>
          <w:color w:val="auto"/>
        </w:rPr>
      </w:pPr>
      <w:r>
        <w:rPr>
          <w:rFonts w:ascii="Arial" w:cs="Arial" w:eastAsia="Arial" w:hAnsi="Arial"/>
          <w:sz w:val="13"/>
          <w:szCs w:val="13"/>
          <w:color w:val="auto"/>
        </w:rPr>
        <w:t>As at March 31, 2016, the Company had outstanding foreign exchange zero cost collars. The purchase of US dollar put options was financed through selling US dollar call options at a higher level such that the net premium payable to the different counterparties by the Company was nil. At March 31, 2016, the zero cost collars related to $208.0 million of 2016 expenditures and the Company recognized mark-to-market adjustments in the (gain) loss on derivative financial instruments line item of the condensed interim consolidated statements of income and comprehensive income. Mark-to-market gains and losses related to foreign exchange derivative financial instruments are recorded at fair value based on broker-dealer quotations corroborated by option pricing models that utilize period end forward pricing of the applicable foreign currency to calculate fair value.</w:t>
      </w:r>
    </w:p>
    <w:p>
      <w:pPr>
        <w:spacing w:after="0" w:line="190"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The Company's other foreign currency derivative strategies in 2016 and 2015 consisted mainly of writing US dollar call options with short maturities to generate premiums that would, in essence, enhance the spot transaction rate received when exchanging US dollars for Canadian dollars. All of these derivative transactions expired prior to period end such that no derivatives were outstanding as at March 31, 2016 or December 31, 2015. The call option premiums were recognized in the (gain) loss on derivative financial instruments line item of the condensed interim consolidated statements of income and comprehensive income.</w:t>
      </w:r>
    </w:p>
    <w:p>
      <w:pPr>
        <w:spacing w:after="0" w:line="191" w:lineRule="exact"/>
        <w:rPr>
          <w:sz w:val="20"/>
          <w:szCs w:val="20"/>
          <w:color w:val="auto"/>
        </w:rPr>
      </w:pPr>
    </w:p>
    <w:p>
      <w:pPr>
        <w:ind w:left="520"/>
        <w:spacing w:after="0"/>
        <w:rPr>
          <w:sz w:val="20"/>
          <w:szCs w:val="20"/>
          <w:color w:val="auto"/>
        </w:rPr>
      </w:pPr>
      <w:r>
        <w:rPr>
          <w:rFonts w:ascii="Arial" w:cs="Arial" w:eastAsia="Arial" w:hAnsi="Arial"/>
          <w:sz w:val="13"/>
          <w:szCs w:val="13"/>
          <w:b w:val="1"/>
          <w:bCs w:val="1"/>
          <w:i w:val="1"/>
          <w:iCs w:val="1"/>
          <w:color w:val="auto"/>
        </w:rPr>
        <w:t>Commodity Price Risk Management</w:t>
      </w:r>
    </w:p>
    <w:p>
      <w:pPr>
        <w:spacing w:after="0" w:line="204" w:lineRule="exact"/>
        <w:rPr>
          <w:sz w:val="20"/>
          <w:szCs w:val="20"/>
          <w:color w:val="auto"/>
        </w:rPr>
      </w:pPr>
    </w:p>
    <w:p>
      <w:pPr>
        <w:jc w:val="both"/>
        <w:ind w:left="520"/>
        <w:spacing w:after="0" w:line="239" w:lineRule="auto"/>
        <w:rPr>
          <w:sz w:val="20"/>
          <w:szCs w:val="20"/>
          <w:color w:val="auto"/>
        </w:rPr>
      </w:pPr>
      <w:r>
        <w:rPr>
          <w:rFonts w:ascii="Arial" w:cs="Arial" w:eastAsia="Arial" w:hAnsi="Arial"/>
          <w:sz w:val="13"/>
          <w:szCs w:val="13"/>
          <w:color w:val="auto"/>
        </w:rPr>
        <w:t>To mitigate the risks associated with fluctuating diesel fuel prices, the Company uses derivative financial instruments as economic hedges of the price risk on a portion of diesel fuel costs associated with the Meadowbank mine's diesel fuel exposure as it relates to operating costs. There were derivative financial instruments outstanding at March 31, 2016 relating to 7.0 million gallons of heating oil (December 31, 2015 — 7.0 million gallons). The related mark-to-market adjustments prior to settlement were recognized in the (gain) loss on derivative financial instruments line item of the condensed interim consolidated statements of income and comprehensive income. The Company does not apply hedge accounting to these arrangements.</w:t>
      </w:r>
    </w:p>
    <w:p>
      <w:pPr>
        <w:spacing w:after="0" w:line="191" w:lineRule="exact"/>
        <w:rPr>
          <w:sz w:val="20"/>
          <w:szCs w:val="20"/>
          <w:color w:val="auto"/>
        </w:rPr>
      </w:pPr>
    </w:p>
    <w:p>
      <w:pPr>
        <w:ind w:left="520"/>
        <w:spacing w:after="0"/>
        <w:rPr>
          <w:sz w:val="20"/>
          <w:szCs w:val="20"/>
          <w:color w:val="auto"/>
        </w:rPr>
      </w:pPr>
      <w:r>
        <w:rPr>
          <w:rFonts w:ascii="Arial" w:cs="Arial" w:eastAsia="Arial" w:hAnsi="Arial"/>
          <w:sz w:val="13"/>
          <w:szCs w:val="13"/>
          <w:color w:val="auto"/>
        </w:rPr>
        <w:t>Mark-to-market gains and losses related to heating oil derivative financial instruments are based on broker-dealer quotations that utilize period end forward pricing to calculate fair value.</w:t>
      </w:r>
    </w:p>
    <w:p>
      <w:pPr>
        <w:spacing w:after="0" w:line="204" w:lineRule="exact"/>
        <w:rPr>
          <w:sz w:val="20"/>
          <w:szCs w:val="20"/>
          <w:color w:val="auto"/>
        </w:rPr>
      </w:pPr>
    </w:p>
    <w:p>
      <w:pPr>
        <w:jc w:val="both"/>
        <w:ind w:left="520"/>
        <w:spacing w:after="0" w:line="256" w:lineRule="auto"/>
        <w:rPr>
          <w:sz w:val="20"/>
          <w:szCs w:val="20"/>
          <w:color w:val="auto"/>
        </w:rPr>
      </w:pPr>
      <w:r>
        <w:rPr>
          <w:rFonts w:ascii="Arial" w:cs="Arial" w:eastAsia="Arial" w:hAnsi="Arial"/>
          <w:sz w:val="13"/>
          <w:szCs w:val="13"/>
          <w:color w:val="auto"/>
        </w:rPr>
        <w:t>As at March 31, 2016 and December 31, 2015, there were no metal derivative positions. The Company may from time to time utilize short-term financial instruments as part of its strategy to minimize risks and optimize returns on its by-product metal sales.</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0" w:name="page41"/>
    <w:bookmarkEnd w:id="40"/>
    <w:p>
      <w:pPr>
        <w:jc w:val="center"/>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March 31, 2016</w:t>
      </w:r>
    </w:p>
    <w:p>
      <w:pPr>
        <w:spacing w:after="0" w:line="21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12.  DERIVATIVE FINANCIAL INSTRUMENTS (Continued)</w:t>
      </w:r>
    </w:p>
    <w:p>
      <w:pPr>
        <w:spacing w:after="0" w:line="208"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The following table sets out a summary of the amounts recognized in the (gain) loss on derivative financial instruments line item of the condensed interim consolidated statements of income and comprehensive income:</w:t>
      </w:r>
    </w:p>
    <w:p>
      <w:pPr>
        <w:spacing w:after="0" w:line="170"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1260" w:type="dxa"/>
            <w:vAlign w:val="bottom"/>
          </w:tcPr>
          <w:p>
            <w:pPr>
              <w:spacing w:after="0"/>
              <w:rPr>
                <w:sz w:val="13"/>
                <w:szCs w:val="13"/>
                <w:color w:val="auto"/>
              </w:rPr>
            </w:pPr>
          </w:p>
        </w:tc>
        <w:tc>
          <w:tcPr>
            <w:tcW w:w="63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60" w:type="dxa"/>
            <w:vAlign w:val="bottom"/>
            <w:gridSpan w:val="5"/>
          </w:tcPr>
          <w:p>
            <w:pPr>
              <w:jc w:val="right"/>
              <w:ind w:right="420"/>
              <w:spacing w:after="0"/>
              <w:rPr>
                <w:sz w:val="20"/>
                <w:szCs w:val="20"/>
                <w:color w:val="auto"/>
              </w:rPr>
            </w:pPr>
            <w:r>
              <w:rPr>
                <w:rFonts w:ascii="Arial" w:cs="Arial" w:eastAsia="Arial" w:hAnsi="Arial"/>
                <w:sz w:val="13"/>
                <w:szCs w:val="13"/>
                <w:b w:val="1"/>
                <w:bCs w:val="1"/>
                <w:color w:val="auto"/>
              </w:rPr>
              <w:t>Three Months</w:t>
            </w:r>
          </w:p>
        </w:tc>
        <w:tc>
          <w:tcPr>
            <w:tcW w:w="0" w:type="dxa"/>
            <w:vAlign w:val="bottom"/>
          </w:tcPr>
          <w:p>
            <w:pPr>
              <w:spacing w:after="0"/>
              <w:rPr>
                <w:sz w:val="1"/>
                <w:szCs w:val="1"/>
                <w:color w:val="auto"/>
              </w:rPr>
            </w:pPr>
          </w:p>
        </w:tc>
      </w:tr>
      <w:tr>
        <w:trPr>
          <w:trHeight w:val="144"/>
        </w:trPr>
        <w:tc>
          <w:tcPr>
            <w:tcW w:w="1260" w:type="dxa"/>
            <w:vAlign w:val="bottom"/>
          </w:tcPr>
          <w:p>
            <w:pPr>
              <w:spacing w:after="0"/>
              <w:rPr>
                <w:sz w:val="12"/>
                <w:szCs w:val="12"/>
                <w:color w:val="auto"/>
              </w:rPr>
            </w:pPr>
          </w:p>
        </w:tc>
        <w:tc>
          <w:tcPr>
            <w:tcW w:w="63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gridSpan w:val="3"/>
          </w:tcPr>
          <w:p>
            <w:pPr>
              <w:jc w:val="right"/>
              <w:spacing w:after="0" w:line="144" w:lineRule="exact"/>
              <w:rPr>
                <w:sz w:val="20"/>
                <w:szCs w:val="20"/>
                <w:color w:val="auto"/>
              </w:rPr>
            </w:pPr>
            <w:r>
              <w:rPr>
                <w:rFonts w:ascii="Arial" w:cs="Arial" w:eastAsia="Arial" w:hAnsi="Arial"/>
                <w:sz w:val="13"/>
                <w:szCs w:val="13"/>
                <w:b w:val="1"/>
                <w:bCs w:val="1"/>
                <w:color w:val="auto"/>
              </w:rPr>
              <w:t>Ended</w:t>
            </w:r>
          </w:p>
        </w:tc>
        <w:tc>
          <w:tcPr>
            <w:tcW w:w="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7"/>
        </w:trPr>
        <w:tc>
          <w:tcPr>
            <w:tcW w:w="1260" w:type="dxa"/>
            <w:vAlign w:val="bottom"/>
          </w:tcPr>
          <w:p>
            <w:pPr>
              <w:spacing w:after="0"/>
              <w:rPr>
                <w:sz w:val="13"/>
                <w:szCs w:val="13"/>
                <w:color w:val="auto"/>
              </w:rPr>
            </w:pPr>
          </w:p>
        </w:tc>
        <w:tc>
          <w:tcPr>
            <w:tcW w:w="63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60" w:type="dxa"/>
            <w:vAlign w:val="bottom"/>
            <w:gridSpan w:val="5"/>
          </w:tcPr>
          <w:p>
            <w:pPr>
              <w:jc w:val="right"/>
              <w:ind w:right="520"/>
              <w:spacing w:after="0"/>
              <w:rPr>
                <w:sz w:val="20"/>
                <w:szCs w:val="20"/>
                <w:color w:val="auto"/>
              </w:rPr>
            </w:pPr>
            <w:r>
              <w:rPr>
                <w:rFonts w:ascii="Arial" w:cs="Arial" w:eastAsia="Arial" w:hAnsi="Arial"/>
                <w:sz w:val="13"/>
                <w:szCs w:val="13"/>
                <w:b w:val="1"/>
                <w:bCs w:val="1"/>
                <w:color w:val="auto"/>
              </w:rPr>
              <w:t>March 31,</w:t>
            </w:r>
          </w:p>
        </w:tc>
        <w:tc>
          <w:tcPr>
            <w:tcW w:w="0" w:type="dxa"/>
            <w:vAlign w:val="bottom"/>
          </w:tcPr>
          <w:p>
            <w:pPr>
              <w:spacing w:after="0"/>
              <w:rPr>
                <w:sz w:val="1"/>
                <w:szCs w:val="1"/>
                <w:color w:val="auto"/>
              </w:rPr>
            </w:pPr>
          </w:p>
        </w:tc>
      </w:tr>
      <w:tr>
        <w:trPr>
          <w:trHeight w:val="137"/>
        </w:trPr>
        <w:tc>
          <w:tcPr>
            <w:tcW w:w="1260" w:type="dxa"/>
            <w:vAlign w:val="bottom"/>
          </w:tcPr>
          <w:p>
            <w:pPr>
              <w:spacing w:after="0"/>
              <w:rPr>
                <w:sz w:val="11"/>
                <w:szCs w:val="11"/>
                <w:color w:val="auto"/>
              </w:rPr>
            </w:pPr>
          </w:p>
        </w:tc>
        <w:tc>
          <w:tcPr>
            <w:tcW w:w="6380" w:type="dxa"/>
            <w:vAlign w:val="bottom"/>
          </w:tcPr>
          <w:p>
            <w:pPr>
              <w:spacing w:after="0"/>
              <w:rPr>
                <w:sz w:val="11"/>
                <w:szCs w:val="11"/>
                <w:color w:val="auto"/>
              </w:rPr>
            </w:pPr>
          </w:p>
        </w:tc>
        <w:tc>
          <w:tcPr>
            <w:tcW w:w="120" w:type="dxa"/>
            <w:vAlign w:val="bottom"/>
            <w:tcBorders>
              <w:top w:val="single" w:sz="8" w:color="auto"/>
              <w:bottom w:val="single" w:sz="8" w:color="auto"/>
            </w:tcBorders>
          </w:tcPr>
          <w:p>
            <w:pPr>
              <w:spacing w:after="0"/>
              <w:rPr>
                <w:sz w:val="11"/>
                <w:szCs w:val="11"/>
                <w:color w:val="auto"/>
              </w:rPr>
            </w:pPr>
          </w:p>
        </w:tc>
        <w:tc>
          <w:tcPr>
            <w:tcW w:w="500" w:type="dxa"/>
            <w:vAlign w:val="bottom"/>
            <w:tcBorders>
              <w:top w:val="single" w:sz="8" w:color="auto"/>
              <w:bottom w:val="single" w:sz="8" w:color="auto"/>
            </w:tcBorders>
          </w:tcPr>
          <w:p>
            <w:pPr>
              <w:jc w:val="right"/>
              <w:ind w:right="114"/>
              <w:spacing w:after="0" w:line="138" w:lineRule="exact"/>
              <w:rPr>
                <w:sz w:val="20"/>
                <w:szCs w:val="20"/>
                <w:color w:val="auto"/>
              </w:rPr>
            </w:pPr>
            <w:r>
              <w:rPr>
                <w:rFonts w:ascii="Arial" w:cs="Arial" w:eastAsia="Arial" w:hAnsi="Arial"/>
                <w:sz w:val="13"/>
                <w:szCs w:val="13"/>
                <w:b w:val="1"/>
                <w:bCs w:val="1"/>
                <w:color w:val="auto"/>
              </w:rPr>
              <w:t>2016</w:t>
            </w:r>
          </w:p>
        </w:tc>
        <w:tc>
          <w:tcPr>
            <w:tcW w:w="140" w:type="dxa"/>
            <w:vAlign w:val="bottom"/>
            <w:tcBorders>
              <w:top w:val="single" w:sz="8" w:color="auto"/>
            </w:tcBorders>
          </w:tcPr>
          <w:p>
            <w:pPr>
              <w:spacing w:after="0"/>
              <w:rPr>
                <w:sz w:val="11"/>
                <w:szCs w:val="11"/>
                <w:color w:val="auto"/>
              </w:rPr>
            </w:pPr>
          </w:p>
        </w:tc>
        <w:tc>
          <w:tcPr>
            <w:tcW w:w="120" w:type="dxa"/>
            <w:vAlign w:val="bottom"/>
            <w:tcBorders>
              <w:top w:val="single" w:sz="8" w:color="auto"/>
              <w:bottom w:val="single" w:sz="8" w:color="auto"/>
            </w:tcBorders>
          </w:tcPr>
          <w:p>
            <w:pPr>
              <w:spacing w:after="0"/>
              <w:rPr>
                <w:sz w:val="11"/>
                <w:szCs w:val="11"/>
                <w:color w:val="auto"/>
              </w:rPr>
            </w:pPr>
          </w:p>
        </w:tc>
        <w:tc>
          <w:tcPr>
            <w:tcW w:w="460" w:type="dxa"/>
            <w:vAlign w:val="bottom"/>
            <w:tcBorders>
              <w:top w:val="single" w:sz="8" w:color="auto"/>
              <w:bottom w:val="single" w:sz="8" w:color="auto"/>
            </w:tcBorders>
          </w:tcPr>
          <w:p>
            <w:pPr>
              <w:jc w:val="right"/>
              <w:ind w:right="94"/>
              <w:spacing w:after="0" w:line="138" w:lineRule="exact"/>
              <w:rPr>
                <w:sz w:val="20"/>
                <w:szCs w:val="20"/>
                <w:color w:val="auto"/>
              </w:rPr>
            </w:pPr>
            <w:r>
              <w:rPr>
                <w:rFonts w:ascii="Arial" w:cs="Arial" w:eastAsia="Arial" w:hAnsi="Arial"/>
                <w:sz w:val="13"/>
                <w:szCs w:val="13"/>
                <w:b w:val="1"/>
                <w:bCs w:val="1"/>
                <w:color w:val="auto"/>
                <w:w w:val="96"/>
              </w:rPr>
              <w:t>2015</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7640" w:type="dxa"/>
            <w:vAlign w:val="bottom"/>
            <w:gridSpan w:val="2"/>
            <w:shd w:val="clear" w:color="auto" w:fill="CCEEFF"/>
          </w:tcPr>
          <w:p>
            <w:pPr>
              <w:ind w:left="220"/>
              <w:spacing w:after="0" w:line="138" w:lineRule="exact"/>
              <w:rPr>
                <w:sz w:val="20"/>
                <w:szCs w:val="20"/>
                <w:color w:val="auto"/>
              </w:rPr>
            </w:pPr>
            <w:r>
              <w:rPr>
                <w:rFonts w:ascii="Arial" w:cs="Arial" w:eastAsia="Arial" w:hAnsi="Arial"/>
                <w:sz w:val="13"/>
                <w:szCs w:val="13"/>
                <w:color w:val="auto"/>
              </w:rPr>
              <w:t>Premiums realized on written foreign exchange call options</w:t>
            </w:r>
          </w:p>
        </w:tc>
        <w:tc>
          <w:tcPr>
            <w:tcW w:w="12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w w:val="82"/>
              </w:rPr>
              <w:t>$</w:t>
            </w:r>
          </w:p>
        </w:tc>
        <w:tc>
          <w:tcPr>
            <w:tcW w:w="640" w:type="dxa"/>
            <w:vAlign w:val="bottom"/>
            <w:gridSpan w:val="2"/>
            <w:shd w:val="clear" w:color="auto" w:fill="CCEEFF"/>
          </w:tcPr>
          <w:p>
            <w:pPr>
              <w:jc w:val="right"/>
              <w:ind w:right="100"/>
              <w:spacing w:after="0" w:line="138" w:lineRule="exact"/>
              <w:rPr>
                <w:sz w:val="20"/>
                <w:szCs w:val="20"/>
                <w:color w:val="auto"/>
              </w:rPr>
            </w:pPr>
            <w:r>
              <w:rPr>
                <w:rFonts w:ascii="Arial" w:cs="Arial" w:eastAsia="Arial" w:hAnsi="Arial"/>
                <w:sz w:val="13"/>
                <w:szCs w:val="13"/>
                <w:color w:val="auto"/>
              </w:rPr>
              <w:t>(494)</w:t>
            </w:r>
          </w:p>
        </w:tc>
        <w:tc>
          <w:tcPr>
            <w:tcW w:w="120" w:type="dxa"/>
            <w:vAlign w:val="bottom"/>
            <w:shd w:val="clear" w:color="auto" w:fill="CCEEFF"/>
          </w:tcPr>
          <w:p>
            <w:pPr>
              <w:jc w:val="right"/>
              <w:spacing w:after="0" w:line="138" w:lineRule="exact"/>
              <w:rPr>
                <w:sz w:val="20"/>
                <w:szCs w:val="20"/>
                <w:color w:val="auto"/>
              </w:rPr>
            </w:pPr>
            <w:r>
              <w:rPr>
                <w:rFonts w:ascii="Arial" w:cs="Arial" w:eastAsia="Arial" w:hAnsi="Arial"/>
                <w:sz w:val="13"/>
                <w:szCs w:val="13"/>
                <w:color w:val="auto"/>
              </w:rPr>
              <w:t>$</w:t>
            </w:r>
          </w:p>
        </w:tc>
        <w:tc>
          <w:tcPr>
            <w:tcW w:w="600" w:type="dxa"/>
            <w:vAlign w:val="bottom"/>
            <w:gridSpan w:val="2"/>
            <w:shd w:val="clear" w:color="auto" w:fill="CCEEFF"/>
          </w:tcPr>
          <w:p>
            <w:pPr>
              <w:jc w:val="right"/>
              <w:ind w:right="100"/>
              <w:spacing w:after="0" w:line="138" w:lineRule="exact"/>
              <w:rPr>
                <w:sz w:val="20"/>
                <w:szCs w:val="20"/>
                <w:color w:val="auto"/>
              </w:rPr>
            </w:pPr>
            <w:r>
              <w:rPr>
                <w:rFonts w:ascii="Arial" w:cs="Arial" w:eastAsia="Arial" w:hAnsi="Arial"/>
                <w:sz w:val="13"/>
                <w:szCs w:val="13"/>
                <w:color w:val="auto"/>
              </w:rPr>
              <w:t>(665)</w:t>
            </w:r>
          </w:p>
        </w:tc>
        <w:tc>
          <w:tcPr>
            <w:tcW w:w="0" w:type="dxa"/>
            <w:vAlign w:val="bottom"/>
          </w:tcPr>
          <w:p>
            <w:pPr>
              <w:spacing w:after="0"/>
              <w:rPr>
                <w:sz w:val="1"/>
                <w:szCs w:val="1"/>
                <w:color w:val="auto"/>
              </w:rPr>
            </w:pPr>
          </w:p>
        </w:tc>
      </w:tr>
      <w:tr>
        <w:trPr>
          <w:trHeight w:val="144"/>
        </w:trPr>
        <w:tc>
          <w:tcPr>
            <w:tcW w:w="7640" w:type="dxa"/>
            <w:vAlign w:val="bottom"/>
            <w:gridSpan w:val="2"/>
          </w:tcPr>
          <w:p>
            <w:pPr>
              <w:ind w:left="220"/>
              <w:spacing w:after="0" w:line="144" w:lineRule="exact"/>
              <w:rPr>
                <w:sz w:val="20"/>
                <w:szCs w:val="20"/>
                <w:color w:val="auto"/>
              </w:rPr>
            </w:pPr>
            <w:r>
              <w:rPr>
                <w:rFonts w:ascii="Arial" w:cs="Arial" w:eastAsia="Arial" w:hAnsi="Arial"/>
                <w:sz w:val="13"/>
                <w:szCs w:val="13"/>
                <w:color w:val="auto"/>
              </w:rPr>
              <w:t>Realized gain on warrants</w:t>
            </w:r>
          </w:p>
        </w:tc>
        <w:tc>
          <w:tcPr>
            <w:tcW w:w="120" w:type="dxa"/>
            <w:vAlign w:val="bottom"/>
          </w:tcPr>
          <w:p>
            <w:pPr>
              <w:spacing w:after="0"/>
              <w:rPr>
                <w:sz w:val="12"/>
                <w:szCs w:val="12"/>
                <w:color w:val="auto"/>
              </w:rPr>
            </w:pPr>
          </w:p>
        </w:tc>
        <w:tc>
          <w:tcPr>
            <w:tcW w:w="6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60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(9,664)</w:t>
            </w:r>
          </w:p>
        </w:tc>
        <w:tc>
          <w:tcPr>
            <w:tcW w:w="0" w:type="dxa"/>
            <w:vAlign w:val="bottom"/>
          </w:tcPr>
          <w:p>
            <w:pPr>
              <w:spacing w:after="0"/>
              <w:rPr>
                <w:sz w:val="1"/>
                <w:szCs w:val="1"/>
                <w:color w:val="auto"/>
              </w:rPr>
            </w:pPr>
          </w:p>
        </w:tc>
      </w:tr>
      <w:tr>
        <w:trPr>
          <w:trHeight w:val="170"/>
        </w:trPr>
        <w:tc>
          <w:tcPr>
            <w:tcW w:w="7640" w:type="dxa"/>
            <w:vAlign w:val="bottom"/>
            <w:gridSpan w:val="2"/>
            <w:shd w:val="clear" w:color="auto" w:fill="CCEEFF"/>
          </w:tcPr>
          <w:p>
            <w:pPr>
              <w:ind w:left="220"/>
              <w:spacing w:after="0" w:line="171" w:lineRule="exact"/>
              <w:rPr>
                <w:sz w:val="20"/>
                <w:szCs w:val="20"/>
                <w:color w:val="auto"/>
              </w:rPr>
            </w:pPr>
            <w:r>
              <w:rPr>
                <w:rFonts w:ascii="Arial" w:cs="Arial" w:eastAsia="Arial" w:hAnsi="Arial"/>
                <w:sz w:val="12"/>
                <w:szCs w:val="12"/>
                <w:color w:val="auto"/>
              </w:rPr>
              <w:t>Unrealized (gain) loss on warrants</w:t>
            </w:r>
            <w:r>
              <w:rPr>
                <w:rFonts w:ascii="Arial" w:cs="Arial" w:eastAsia="Arial" w:hAnsi="Arial"/>
                <w:sz w:val="19"/>
                <w:szCs w:val="19"/>
                <w:color w:val="auto"/>
                <w:vertAlign w:val="superscript"/>
              </w:rPr>
              <w:t>(i)</w:t>
            </w:r>
          </w:p>
        </w:tc>
        <w:tc>
          <w:tcPr>
            <w:tcW w:w="120" w:type="dxa"/>
            <w:vAlign w:val="bottom"/>
            <w:shd w:val="clear" w:color="auto" w:fill="CCEEFF"/>
          </w:tcPr>
          <w:p>
            <w:pPr>
              <w:spacing w:after="0"/>
              <w:rPr>
                <w:sz w:val="14"/>
                <w:szCs w:val="14"/>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(608)</w:t>
            </w:r>
          </w:p>
        </w:tc>
        <w:tc>
          <w:tcPr>
            <w:tcW w:w="120" w:type="dxa"/>
            <w:vAlign w:val="bottom"/>
            <w:shd w:val="clear" w:color="auto" w:fill="CCEEFF"/>
          </w:tcPr>
          <w:p>
            <w:pPr>
              <w:spacing w:after="0"/>
              <w:rPr>
                <w:sz w:val="14"/>
                <w:szCs w:val="14"/>
                <w:color w:val="auto"/>
              </w:rPr>
            </w:pPr>
          </w:p>
        </w:tc>
        <w:tc>
          <w:tcPr>
            <w:tcW w:w="6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2,559</w:t>
            </w:r>
          </w:p>
        </w:tc>
        <w:tc>
          <w:tcPr>
            <w:tcW w:w="0" w:type="dxa"/>
            <w:vAlign w:val="bottom"/>
          </w:tcPr>
          <w:p>
            <w:pPr>
              <w:spacing w:after="0"/>
              <w:rPr>
                <w:sz w:val="1"/>
                <w:szCs w:val="1"/>
                <w:color w:val="auto"/>
              </w:rPr>
            </w:pPr>
          </w:p>
        </w:tc>
      </w:tr>
      <w:tr>
        <w:trPr>
          <w:trHeight w:val="144"/>
        </w:trPr>
        <w:tc>
          <w:tcPr>
            <w:tcW w:w="7640" w:type="dxa"/>
            <w:vAlign w:val="bottom"/>
            <w:gridSpan w:val="2"/>
          </w:tcPr>
          <w:p>
            <w:pPr>
              <w:ind w:left="220"/>
              <w:spacing w:after="0" w:line="144" w:lineRule="exact"/>
              <w:rPr>
                <w:sz w:val="20"/>
                <w:szCs w:val="20"/>
                <w:color w:val="auto"/>
              </w:rPr>
            </w:pPr>
            <w:r>
              <w:rPr>
                <w:rFonts w:ascii="Arial" w:cs="Arial" w:eastAsia="Arial" w:hAnsi="Arial"/>
                <w:sz w:val="13"/>
                <w:szCs w:val="13"/>
                <w:color w:val="auto"/>
              </w:rPr>
              <w:t>Realized loss on currency and commodity derivatives</w:t>
            </w:r>
          </w:p>
        </w:tc>
        <w:tc>
          <w:tcPr>
            <w:tcW w:w="120" w:type="dxa"/>
            <w:vAlign w:val="bottom"/>
          </w:tcPr>
          <w:p>
            <w:pPr>
              <w:spacing w:after="0"/>
              <w:rPr>
                <w:sz w:val="12"/>
                <w:szCs w:val="12"/>
                <w:color w:val="auto"/>
              </w:rPr>
            </w:pPr>
          </w:p>
        </w:tc>
        <w:tc>
          <w:tcPr>
            <w:tcW w:w="6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1,671</w:t>
            </w:r>
          </w:p>
        </w:tc>
        <w:tc>
          <w:tcPr>
            <w:tcW w:w="120" w:type="dxa"/>
            <w:vAlign w:val="bottom"/>
          </w:tcPr>
          <w:p>
            <w:pPr>
              <w:spacing w:after="0"/>
              <w:rPr>
                <w:sz w:val="12"/>
                <w:szCs w:val="12"/>
                <w:color w:val="auto"/>
              </w:rPr>
            </w:pPr>
          </w:p>
        </w:tc>
        <w:tc>
          <w:tcPr>
            <w:tcW w:w="60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2,736</w:t>
            </w:r>
          </w:p>
        </w:tc>
        <w:tc>
          <w:tcPr>
            <w:tcW w:w="0" w:type="dxa"/>
            <w:vAlign w:val="bottom"/>
          </w:tcPr>
          <w:p>
            <w:pPr>
              <w:spacing w:after="0"/>
              <w:rPr>
                <w:sz w:val="1"/>
                <w:szCs w:val="1"/>
                <w:color w:val="auto"/>
              </w:rPr>
            </w:pPr>
          </w:p>
        </w:tc>
      </w:tr>
      <w:tr>
        <w:trPr>
          <w:trHeight w:val="170"/>
        </w:trPr>
        <w:tc>
          <w:tcPr>
            <w:tcW w:w="7640" w:type="dxa"/>
            <w:vAlign w:val="bottom"/>
            <w:gridSpan w:val="2"/>
            <w:shd w:val="clear" w:color="auto" w:fill="CCEEFF"/>
          </w:tcPr>
          <w:p>
            <w:pPr>
              <w:ind w:left="220"/>
              <w:spacing w:after="0" w:line="171" w:lineRule="exact"/>
              <w:rPr>
                <w:sz w:val="20"/>
                <w:szCs w:val="20"/>
                <w:color w:val="auto"/>
              </w:rPr>
            </w:pPr>
            <w:r>
              <w:rPr>
                <w:rFonts w:ascii="Arial" w:cs="Arial" w:eastAsia="Arial" w:hAnsi="Arial"/>
                <w:sz w:val="12"/>
                <w:szCs w:val="12"/>
                <w:color w:val="auto"/>
              </w:rPr>
              <w:t>Unrealized (gain) loss on currency and commodity derivatives</w:t>
            </w:r>
            <w:r>
              <w:rPr>
                <w:rFonts w:ascii="Arial" w:cs="Arial" w:eastAsia="Arial" w:hAnsi="Arial"/>
                <w:sz w:val="19"/>
                <w:szCs w:val="19"/>
                <w:color w:val="auto"/>
                <w:vertAlign w:val="superscript"/>
              </w:rPr>
              <w:t>(i)</w:t>
            </w:r>
          </w:p>
        </w:tc>
        <w:tc>
          <w:tcPr>
            <w:tcW w:w="120" w:type="dxa"/>
            <w:vAlign w:val="bottom"/>
            <w:shd w:val="clear" w:color="auto" w:fill="CCEEFF"/>
          </w:tcPr>
          <w:p>
            <w:pPr>
              <w:spacing w:after="0"/>
              <w:rPr>
                <w:sz w:val="14"/>
                <w:szCs w:val="14"/>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(10,190)</w:t>
            </w:r>
          </w:p>
        </w:tc>
        <w:tc>
          <w:tcPr>
            <w:tcW w:w="120" w:type="dxa"/>
            <w:vAlign w:val="bottom"/>
            <w:shd w:val="clear" w:color="auto" w:fill="CCEEFF"/>
          </w:tcPr>
          <w:p>
            <w:pPr>
              <w:spacing w:after="0"/>
              <w:rPr>
                <w:sz w:val="14"/>
                <w:szCs w:val="14"/>
                <w:color w:val="auto"/>
              </w:rPr>
            </w:pPr>
          </w:p>
        </w:tc>
        <w:tc>
          <w:tcPr>
            <w:tcW w:w="6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13,610</w:t>
            </w:r>
          </w:p>
        </w:tc>
        <w:tc>
          <w:tcPr>
            <w:tcW w:w="0" w:type="dxa"/>
            <w:vAlign w:val="bottom"/>
          </w:tcPr>
          <w:p>
            <w:pPr>
              <w:spacing w:after="0"/>
              <w:rPr>
                <w:sz w:val="1"/>
                <w:szCs w:val="1"/>
                <w:color w:val="auto"/>
              </w:rPr>
            </w:pPr>
          </w:p>
        </w:tc>
      </w:tr>
      <w:tr>
        <w:trPr>
          <w:trHeight w:val="26"/>
        </w:trPr>
        <w:tc>
          <w:tcPr>
            <w:tcW w:w="7640" w:type="dxa"/>
            <w:vAlign w:val="bottom"/>
            <w:gridSpan w:val="2"/>
            <w:vMerge w:val="restart"/>
          </w:tcPr>
          <w:p>
            <w:pPr>
              <w:ind w:left="220"/>
              <w:spacing w:after="0"/>
              <w:rPr>
                <w:sz w:val="20"/>
                <w:szCs w:val="20"/>
                <w:color w:val="auto"/>
              </w:rPr>
            </w:pPr>
            <w:r>
              <w:rPr>
                <w:rFonts w:ascii="Arial" w:cs="Arial" w:eastAsia="Arial" w:hAnsi="Arial"/>
                <w:sz w:val="13"/>
                <w:szCs w:val="13"/>
                <w:color w:val="auto"/>
              </w:rPr>
              <w:t>Total (gain) loss on derivative financial instruments</w:t>
            </w:r>
          </w:p>
        </w:tc>
        <w:tc>
          <w:tcPr>
            <w:tcW w:w="12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6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7640" w:type="dxa"/>
            <w:vAlign w:val="bottom"/>
            <w:gridSpan w:val="2"/>
            <w:vMerge w:val="continue"/>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(9,621)</w:t>
            </w:r>
          </w:p>
        </w:tc>
        <w:tc>
          <w:tcPr>
            <w:tcW w:w="14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8,576</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260" w:type="dxa"/>
            <w:vAlign w:val="bottom"/>
          </w:tcPr>
          <w:p>
            <w:pPr>
              <w:spacing w:after="0" w:line="20" w:lineRule="exact"/>
              <w:rPr>
                <w:sz w:val="1"/>
                <w:szCs w:val="1"/>
                <w:color w:val="auto"/>
              </w:rPr>
            </w:pPr>
          </w:p>
        </w:tc>
        <w:tc>
          <w:tcPr>
            <w:tcW w:w="63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7"/>
        </w:trPr>
        <w:tc>
          <w:tcPr>
            <w:tcW w:w="1260" w:type="dxa"/>
            <w:vAlign w:val="bottom"/>
            <w:tcBorders>
              <w:bottom w:val="single" w:sz="8" w:color="auto"/>
            </w:tcBorders>
          </w:tcPr>
          <w:p>
            <w:pPr>
              <w:spacing w:after="0"/>
              <w:rPr>
                <w:sz w:val="7"/>
                <w:szCs w:val="7"/>
                <w:color w:val="auto"/>
              </w:rPr>
            </w:pPr>
          </w:p>
        </w:tc>
        <w:tc>
          <w:tcPr>
            <w:tcW w:w="6380" w:type="dxa"/>
            <w:vAlign w:val="bottom"/>
          </w:tcPr>
          <w:p>
            <w:pPr>
              <w:spacing w:after="0"/>
              <w:rPr>
                <w:sz w:val="7"/>
                <w:szCs w:val="7"/>
                <w:color w:val="auto"/>
              </w:rPr>
            </w:pPr>
          </w:p>
        </w:tc>
        <w:tc>
          <w:tcPr>
            <w:tcW w:w="120" w:type="dxa"/>
            <w:vAlign w:val="bottom"/>
          </w:tcPr>
          <w:p>
            <w:pPr>
              <w:spacing w:after="0"/>
              <w:rPr>
                <w:sz w:val="7"/>
                <w:szCs w:val="7"/>
                <w:color w:val="auto"/>
              </w:rPr>
            </w:pPr>
          </w:p>
        </w:tc>
        <w:tc>
          <w:tcPr>
            <w:tcW w:w="500" w:type="dxa"/>
            <w:vAlign w:val="bottom"/>
          </w:tcPr>
          <w:p>
            <w:pPr>
              <w:spacing w:after="0"/>
              <w:rPr>
                <w:sz w:val="7"/>
                <w:szCs w:val="7"/>
                <w:color w:val="auto"/>
              </w:rPr>
            </w:pPr>
          </w:p>
        </w:tc>
        <w:tc>
          <w:tcPr>
            <w:tcW w:w="140" w:type="dxa"/>
            <w:vAlign w:val="bottom"/>
          </w:tcPr>
          <w:p>
            <w:pPr>
              <w:spacing w:after="0"/>
              <w:rPr>
                <w:sz w:val="7"/>
                <w:szCs w:val="7"/>
                <w:color w:val="auto"/>
              </w:rPr>
            </w:pPr>
          </w:p>
        </w:tc>
        <w:tc>
          <w:tcPr>
            <w:tcW w:w="120" w:type="dxa"/>
            <w:vAlign w:val="bottom"/>
          </w:tcPr>
          <w:p>
            <w:pPr>
              <w:spacing w:after="0"/>
              <w:rPr>
                <w:sz w:val="7"/>
                <w:szCs w:val="7"/>
                <w:color w:val="auto"/>
              </w:rPr>
            </w:pPr>
          </w:p>
        </w:tc>
        <w:tc>
          <w:tcPr>
            <w:tcW w:w="460" w:type="dxa"/>
            <w:vAlign w:val="bottom"/>
          </w:tcPr>
          <w:p>
            <w:pPr>
              <w:spacing w:after="0"/>
              <w:rPr>
                <w:sz w:val="7"/>
                <w:szCs w:val="7"/>
                <w:color w:val="auto"/>
              </w:rPr>
            </w:pPr>
          </w:p>
        </w:tc>
        <w:tc>
          <w:tcPr>
            <w:tcW w:w="1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left="1680"/>
        <w:spacing w:after="0"/>
        <w:rPr>
          <w:sz w:val="20"/>
          <w:szCs w:val="20"/>
          <w:color w:val="auto"/>
        </w:rPr>
      </w:pPr>
      <w:r>
        <w:rPr>
          <w:rFonts w:ascii="Arial" w:cs="Arial" w:eastAsia="Arial" w:hAnsi="Arial"/>
          <w:sz w:val="13"/>
          <w:szCs w:val="13"/>
          <w:color w:val="auto"/>
        </w:rPr>
        <w:t>Note:</w:t>
      </w:r>
    </w:p>
    <w:p>
      <w:pPr>
        <w:spacing w:after="0" w:line="191" w:lineRule="exact"/>
        <w:rPr>
          <w:sz w:val="20"/>
          <w:szCs w:val="20"/>
          <w:color w:val="auto"/>
        </w:rPr>
      </w:pPr>
    </w:p>
    <w:p>
      <w:pPr>
        <w:jc w:val="both"/>
        <w:ind w:left="2200" w:hanging="529"/>
        <w:spacing w:after="0" w:line="243" w:lineRule="auto"/>
        <w:tabs>
          <w:tab w:leader="none" w:pos="2200" w:val="left"/>
        </w:tabs>
        <w:numPr>
          <w:ilvl w:val="0"/>
          <w:numId w:val="22"/>
        </w:numPr>
        <w:rPr>
          <w:rFonts w:ascii="Arial" w:cs="Arial" w:eastAsia="Arial" w:hAnsi="Arial"/>
          <w:sz w:val="13"/>
          <w:szCs w:val="13"/>
          <w:color w:val="auto"/>
        </w:rPr>
      </w:pPr>
      <w:r>
        <w:rPr>
          <w:rFonts w:ascii="Arial" w:cs="Arial" w:eastAsia="Arial" w:hAnsi="Arial"/>
          <w:sz w:val="13"/>
          <w:szCs w:val="13"/>
          <w:color w:val="auto"/>
        </w:rPr>
        <w:t>Unrealized gains and losses on financial instruments that did not qualify for hedge accounting are recognized through the (gain) loss on derivative financial instruments line item of the condensed interim consolidated statements of income and comprehensive income and through the other line item of the condensed interim consolidated statements of cash flows.</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1" w:name="page42"/>
    <w:bookmarkEnd w:id="41"/>
    <w:p>
      <w:pPr>
        <w:jc w:val="center"/>
        <w:ind w:right="-1159"/>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6"/>
          <w:szCs w:val="16"/>
          <w:b w:val="1"/>
          <w:bCs w:val="1"/>
          <w:color w:val="auto"/>
        </w:rPr>
        <w:t>(thousands of United States dollars, except share and per share amounts, unless otherwise indicated)</w:t>
      </w:r>
    </w:p>
    <w:p>
      <w:pPr>
        <w:spacing w:after="0" w:line="26" w:lineRule="exact"/>
        <w:rPr>
          <w:sz w:val="20"/>
          <w:szCs w:val="20"/>
          <w:color w:val="auto"/>
        </w:rPr>
      </w:pPr>
    </w:p>
    <w:p>
      <w:pPr>
        <w:jc w:val="center"/>
        <w:ind w:right="-1159"/>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ind w:right="-1159"/>
        <w:spacing w:after="0"/>
        <w:rPr>
          <w:sz w:val="20"/>
          <w:szCs w:val="20"/>
          <w:color w:val="auto"/>
        </w:rPr>
      </w:pPr>
      <w:r>
        <w:rPr>
          <w:rFonts w:ascii="Arial" w:cs="Arial" w:eastAsia="Arial" w:hAnsi="Arial"/>
          <w:sz w:val="17"/>
          <w:szCs w:val="17"/>
          <w:b w:val="1"/>
          <w:bCs w:val="1"/>
          <w:color w:val="auto"/>
        </w:rPr>
        <w:t>March 31, 2016</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6140" w:type="dxa"/>
            <w:vAlign w:val="bottom"/>
            <w:gridSpan w:val="4"/>
          </w:tcPr>
          <w:p>
            <w:pPr>
              <w:spacing w:after="0"/>
              <w:rPr>
                <w:sz w:val="20"/>
                <w:szCs w:val="20"/>
                <w:color w:val="auto"/>
              </w:rPr>
            </w:pPr>
            <w:r>
              <w:rPr>
                <w:rFonts w:ascii="Arial" w:cs="Arial" w:eastAsia="Arial" w:hAnsi="Arial"/>
                <w:sz w:val="13"/>
                <w:szCs w:val="13"/>
                <w:b w:val="1"/>
                <w:bCs w:val="1"/>
                <w:color w:val="auto"/>
              </w:rPr>
              <w:t>13.  SEGMENTED INFORMATION</w:t>
            </w:r>
          </w:p>
        </w:tc>
        <w:tc>
          <w:tcPr>
            <w:tcW w:w="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29"/>
        </w:trPr>
        <w:tc>
          <w:tcPr>
            <w:tcW w:w="1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1140" w:type="dxa"/>
            <w:vAlign w:val="bottom"/>
            <w:gridSpan w:val="3"/>
          </w:tcPr>
          <w:p>
            <w:pPr>
              <w:jc w:val="center"/>
              <w:ind w:right="140"/>
              <w:spacing w:after="0"/>
              <w:rPr>
                <w:sz w:val="20"/>
                <w:szCs w:val="20"/>
                <w:color w:val="auto"/>
              </w:rPr>
            </w:pPr>
            <w:r>
              <w:rPr>
                <w:rFonts w:ascii="Arial" w:cs="Arial" w:eastAsia="Arial" w:hAnsi="Arial"/>
                <w:sz w:val="13"/>
                <w:szCs w:val="13"/>
                <w:b w:val="1"/>
                <w:bCs w:val="1"/>
                <w:color w:val="auto"/>
                <w:w w:val="89"/>
              </w:rPr>
              <w:t>Revenues from</w:t>
            </w: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20" w:type="dxa"/>
            <w:vAlign w:val="bottom"/>
            <w:gridSpan w:val="3"/>
          </w:tcPr>
          <w:p>
            <w:pPr>
              <w:jc w:val="center"/>
              <w:ind w:right="160"/>
              <w:spacing w:after="0"/>
              <w:rPr>
                <w:sz w:val="20"/>
                <w:szCs w:val="20"/>
                <w:color w:val="auto"/>
              </w:rPr>
            </w:pPr>
            <w:r>
              <w:rPr>
                <w:rFonts w:ascii="Arial" w:cs="Arial" w:eastAsia="Arial" w:hAnsi="Arial"/>
                <w:sz w:val="13"/>
                <w:szCs w:val="13"/>
                <w:b w:val="1"/>
                <w:bCs w:val="1"/>
                <w:color w:val="auto"/>
                <w:w w:val="91"/>
              </w:rPr>
              <w:t>Exploration and</w:t>
            </w:r>
          </w:p>
        </w:tc>
        <w:tc>
          <w:tcPr>
            <w:tcW w:w="80" w:type="dxa"/>
            <w:vAlign w:val="bottom"/>
          </w:tcPr>
          <w:p>
            <w:pPr>
              <w:spacing w:after="0"/>
              <w:rPr>
                <w:sz w:val="24"/>
                <w:szCs w:val="24"/>
                <w:color w:val="auto"/>
              </w:rPr>
            </w:pPr>
          </w:p>
        </w:tc>
        <w:tc>
          <w:tcPr>
            <w:tcW w:w="740" w:type="dxa"/>
            <w:vAlign w:val="bottom"/>
            <w:gridSpan w:val="3"/>
          </w:tcPr>
          <w:p>
            <w:pPr>
              <w:jc w:val="center"/>
              <w:ind w:right="220"/>
              <w:spacing w:after="0"/>
              <w:rPr>
                <w:sz w:val="20"/>
                <w:szCs w:val="20"/>
                <w:color w:val="auto"/>
              </w:rPr>
            </w:pPr>
            <w:r>
              <w:rPr>
                <w:rFonts w:ascii="Arial" w:cs="Arial" w:eastAsia="Arial" w:hAnsi="Arial"/>
                <w:sz w:val="13"/>
                <w:szCs w:val="13"/>
                <w:b w:val="1"/>
                <w:bCs w:val="1"/>
                <w:color w:val="auto"/>
                <w:w w:val="87"/>
              </w:rPr>
              <w:t>Segment</w:t>
            </w: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24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95"/>
              </w:rPr>
              <w:t>Mining</w:t>
            </w:r>
          </w:p>
        </w:tc>
        <w:tc>
          <w:tcPr>
            <w:tcW w:w="940" w:type="dxa"/>
            <w:vAlign w:val="bottom"/>
            <w:gridSpan w:val="3"/>
          </w:tcPr>
          <w:p>
            <w:pPr>
              <w:jc w:val="right"/>
              <w:ind w:right="240"/>
              <w:spacing w:after="0" w:line="144" w:lineRule="exact"/>
              <w:rPr>
                <w:sz w:val="20"/>
                <w:szCs w:val="20"/>
                <w:color w:val="auto"/>
              </w:rPr>
            </w:pPr>
            <w:r>
              <w:rPr>
                <w:rFonts w:ascii="Arial" w:cs="Arial" w:eastAsia="Arial" w:hAnsi="Arial"/>
                <w:sz w:val="13"/>
                <w:szCs w:val="13"/>
                <w:b w:val="1"/>
                <w:bCs w:val="1"/>
                <w:color w:val="auto"/>
                <w:w w:val="99"/>
              </w:rPr>
              <w:t>Production</w:t>
            </w:r>
          </w:p>
        </w:tc>
        <w:tc>
          <w:tcPr>
            <w:tcW w:w="120" w:type="dxa"/>
            <w:vAlign w:val="bottom"/>
          </w:tcPr>
          <w:p>
            <w:pPr>
              <w:spacing w:after="0"/>
              <w:rPr>
                <w:sz w:val="12"/>
                <w:szCs w:val="12"/>
                <w:color w:val="auto"/>
              </w:rPr>
            </w:pPr>
          </w:p>
        </w:tc>
        <w:tc>
          <w:tcPr>
            <w:tcW w:w="11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93"/>
              </w:rPr>
              <w:t>Corporate</w:t>
            </w:r>
          </w:p>
        </w:tc>
        <w:tc>
          <w:tcPr>
            <w:tcW w:w="80" w:type="dxa"/>
            <w:vAlign w:val="bottom"/>
          </w:tcPr>
          <w:p>
            <w:pPr>
              <w:spacing w:after="0"/>
              <w:rPr>
                <w:sz w:val="12"/>
                <w:szCs w:val="12"/>
                <w:color w:val="auto"/>
              </w:rPr>
            </w:pPr>
          </w:p>
        </w:tc>
        <w:tc>
          <w:tcPr>
            <w:tcW w:w="740" w:type="dxa"/>
            <w:vAlign w:val="bottom"/>
            <w:gridSpan w:val="3"/>
          </w:tcPr>
          <w:p>
            <w:pPr>
              <w:jc w:val="center"/>
              <w:ind w:right="220"/>
              <w:spacing w:after="0" w:line="144" w:lineRule="exact"/>
              <w:rPr>
                <w:sz w:val="20"/>
                <w:szCs w:val="20"/>
                <w:color w:val="auto"/>
              </w:rPr>
            </w:pPr>
            <w:r>
              <w:rPr>
                <w:rFonts w:ascii="Arial" w:cs="Arial" w:eastAsia="Arial" w:hAnsi="Arial"/>
                <w:sz w:val="13"/>
                <w:szCs w:val="13"/>
                <w:b w:val="1"/>
                <w:bCs w:val="1"/>
                <w:color w:val="auto"/>
                <w:w w:val="87"/>
              </w:rPr>
              <w:t>Income</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300" w:type="dxa"/>
            <w:vAlign w:val="bottom"/>
            <w:tcBorders>
              <w:bottom w:val="single" w:sz="8" w:color="auto"/>
            </w:tcBorders>
          </w:tcPr>
          <w:p>
            <w:pPr>
              <w:spacing w:after="0"/>
              <w:rPr>
                <w:sz w:val="20"/>
                <w:szCs w:val="20"/>
                <w:color w:val="auto"/>
              </w:rPr>
            </w:pPr>
            <w:r>
              <w:rPr>
                <w:rFonts w:ascii="Arial" w:cs="Arial" w:eastAsia="Arial" w:hAnsi="Arial"/>
                <w:sz w:val="13"/>
                <w:szCs w:val="13"/>
                <w:b w:val="1"/>
                <w:bCs w:val="1"/>
                <w:color w:val="auto"/>
                <w:w w:val="99"/>
              </w:rPr>
              <w:t>Three Months Ended March 31, 2016:</w:t>
            </w:r>
          </w:p>
        </w:tc>
        <w:tc>
          <w:tcPr>
            <w:tcW w:w="248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center"/>
              <w:ind w:right="54"/>
              <w:spacing w:after="0"/>
              <w:rPr>
                <w:sz w:val="20"/>
                <w:szCs w:val="20"/>
                <w:color w:val="auto"/>
              </w:rPr>
            </w:pPr>
            <w:r>
              <w:rPr>
                <w:rFonts w:ascii="Arial" w:cs="Arial" w:eastAsia="Arial" w:hAnsi="Arial"/>
                <w:sz w:val="13"/>
                <w:szCs w:val="13"/>
                <w:b w:val="1"/>
                <w:bCs w:val="1"/>
                <w:color w:val="auto"/>
                <w:w w:val="93"/>
              </w:rPr>
              <w:t>Operations</w:t>
            </w:r>
          </w:p>
        </w:tc>
        <w:tc>
          <w:tcPr>
            <w:tcW w:w="16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jc w:val="right"/>
              <w:ind w:right="174"/>
              <w:spacing w:after="0"/>
              <w:rPr>
                <w:sz w:val="20"/>
                <w:szCs w:val="20"/>
                <w:color w:val="auto"/>
              </w:rPr>
            </w:pPr>
            <w:r>
              <w:rPr>
                <w:rFonts w:ascii="Arial" w:cs="Arial" w:eastAsia="Arial" w:hAnsi="Arial"/>
                <w:sz w:val="13"/>
                <w:szCs w:val="13"/>
                <w:b w:val="1"/>
                <w:bCs w:val="1"/>
                <w:color w:val="auto"/>
                <w:w w:val="99"/>
              </w:rPr>
              <w:t>Costs</w:t>
            </w:r>
          </w:p>
        </w:tc>
        <w:tc>
          <w:tcPr>
            <w:tcW w:w="16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940" w:type="dxa"/>
            <w:vAlign w:val="bottom"/>
            <w:tcBorders>
              <w:bottom w:val="single" w:sz="8" w:color="auto"/>
            </w:tcBorders>
          </w:tcPr>
          <w:p>
            <w:pPr>
              <w:jc w:val="center"/>
              <w:ind w:right="54"/>
              <w:spacing w:after="0"/>
              <w:rPr>
                <w:sz w:val="20"/>
                <w:szCs w:val="20"/>
                <w:color w:val="auto"/>
              </w:rPr>
            </w:pPr>
            <w:r>
              <w:rPr>
                <w:rFonts w:ascii="Arial" w:cs="Arial" w:eastAsia="Arial" w:hAnsi="Arial"/>
                <w:sz w:val="13"/>
                <w:szCs w:val="13"/>
                <w:b w:val="1"/>
                <w:bCs w:val="1"/>
                <w:color w:val="auto"/>
                <w:w w:val="90"/>
              </w:rPr>
              <w:t>Development</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jc w:val="center"/>
              <w:ind w:right="34"/>
              <w:spacing w:after="0"/>
              <w:rPr>
                <w:sz w:val="20"/>
                <w:szCs w:val="20"/>
                <w:color w:val="auto"/>
              </w:rPr>
            </w:pPr>
            <w:r>
              <w:rPr>
                <w:rFonts w:ascii="Arial" w:cs="Arial" w:eastAsia="Arial" w:hAnsi="Arial"/>
                <w:sz w:val="13"/>
                <w:szCs w:val="13"/>
                <w:b w:val="1"/>
                <w:bCs w:val="1"/>
                <w:color w:val="auto"/>
                <w:w w:val="87"/>
              </w:rPr>
              <w:t>(Loss)</w:t>
            </w:r>
          </w:p>
        </w:tc>
        <w:tc>
          <w:tcPr>
            <w:tcW w:w="14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1140" w:type="dxa"/>
            <w:vAlign w:val="bottom"/>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4780" w:type="dxa"/>
            <w:vAlign w:val="bottom"/>
            <w:gridSpan w:val="2"/>
            <w:shd w:val="clear" w:color="auto" w:fill="CCEEFF"/>
          </w:tcPr>
          <w:p>
            <w:pPr>
              <w:spacing w:after="0" w:line="138" w:lineRule="exact"/>
              <w:rPr>
                <w:sz w:val="20"/>
                <w:szCs w:val="20"/>
                <w:color w:val="auto"/>
              </w:rPr>
            </w:pPr>
            <w:r>
              <w:rPr>
                <w:rFonts w:ascii="Arial" w:cs="Arial" w:eastAsia="Arial" w:hAnsi="Arial"/>
                <w:sz w:val="13"/>
                <w:szCs w:val="13"/>
                <w:b w:val="1"/>
                <w:bCs w:val="1"/>
                <w:color w:val="auto"/>
              </w:rPr>
              <w:t>Northern Business:</w:t>
            </w:r>
          </w:p>
        </w:tc>
        <w:tc>
          <w:tcPr>
            <w:tcW w:w="14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LaRonde mine</w:t>
            </w:r>
          </w:p>
        </w:tc>
        <w:tc>
          <w:tcPr>
            <w:tcW w:w="14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93,909</w:t>
            </w:r>
          </w:p>
        </w:tc>
        <w:tc>
          <w:tcPr>
            <w:tcW w:w="160" w:type="dxa"/>
            <w:vAlign w:val="bottom"/>
          </w:tcPr>
          <w:p>
            <w:pPr>
              <w:jc w:val="right"/>
              <w:ind w:right="14"/>
              <w:spacing w:after="0" w:line="144" w:lineRule="exact"/>
              <w:rPr>
                <w:sz w:val="20"/>
                <w:szCs w:val="20"/>
                <w:color w:val="auto"/>
              </w:rPr>
            </w:pPr>
            <w:r>
              <w:rPr>
                <w:rFonts w:ascii="Arial" w:cs="Arial" w:eastAsia="Arial" w:hAnsi="Arial"/>
                <w:sz w:val="13"/>
                <w:szCs w:val="13"/>
                <w:color w:val="auto"/>
                <w:w w:val="82"/>
              </w:rPr>
              <w:t>$</w:t>
            </w: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(45,854)</w:t>
            </w:r>
          </w:p>
        </w:tc>
        <w:tc>
          <w:tcPr>
            <w:tcW w:w="12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620" w:type="dxa"/>
            <w:vAlign w:val="bottom"/>
            <w:gridSpan w:val="2"/>
          </w:tcPr>
          <w:p>
            <w:pPr>
              <w:jc w:val="right"/>
              <w:ind w:right="20"/>
              <w:spacing w:after="0" w:line="144" w:lineRule="exact"/>
              <w:rPr>
                <w:sz w:val="20"/>
                <w:szCs w:val="20"/>
                <w:color w:val="auto"/>
              </w:rPr>
            </w:pPr>
            <w:r>
              <w:rPr>
                <w:rFonts w:ascii="Arial" w:cs="Arial" w:eastAsia="Arial" w:hAnsi="Arial"/>
                <w:sz w:val="13"/>
                <w:szCs w:val="13"/>
                <w:color w:val="auto"/>
              </w:rPr>
              <w:t>48,055</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Lapa mine</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23,590</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(12,784)</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10,806</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Goldex mine</w:t>
            </w:r>
          </w:p>
        </w:tc>
        <w:tc>
          <w:tcPr>
            <w:tcW w:w="14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37,916</w:t>
            </w:r>
          </w:p>
        </w:tc>
        <w:tc>
          <w:tcPr>
            <w:tcW w:w="160" w:type="dxa"/>
            <w:vAlign w:val="bottom"/>
          </w:tcPr>
          <w:p>
            <w:pPr>
              <w:spacing w:after="0"/>
              <w:rPr>
                <w:sz w:val="12"/>
                <w:szCs w:val="12"/>
                <w:color w:val="auto"/>
              </w:rPr>
            </w:pP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(15,732)</w:t>
            </w:r>
          </w:p>
        </w:tc>
        <w:tc>
          <w:tcPr>
            <w:tcW w:w="120" w:type="dxa"/>
            <w:vAlign w:val="bottom"/>
          </w:tcPr>
          <w:p>
            <w:pPr>
              <w:spacing w:after="0"/>
              <w:rPr>
                <w:sz w:val="12"/>
                <w:szCs w:val="12"/>
                <w:color w:val="auto"/>
              </w:rPr>
            </w:pP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20" w:type="dxa"/>
            <w:vAlign w:val="bottom"/>
            <w:gridSpan w:val="2"/>
          </w:tcPr>
          <w:p>
            <w:pPr>
              <w:jc w:val="right"/>
              <w:ind w:right="20"/>
              <w:spacing w:after="0" w:line="144" w:lineRule="exact"/>
              <w:rPr>
                <w:sz w:val="20"/>
                <w:szCs w:val="20"/>
                <w:color w:val="auto"/>
              </w:rPr>
            </w:pPr>
            <w:r>
              <w:rPr>
                <w:rFonts w:ascii="Arial" w:cs="Arial" w:eastAsia="Arial" w:hAnsi="Arial"/>
                <w:sz w:val="13"/>
                <w:szCs w:val="13"/>
                <w:color w:val="auto"/>
              </w:rPr>
              <w:t>22,184</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Meadowbank mine</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85,539</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(52,210)</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(5,712)</w:t>
            </w: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27,617</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Canadian Malartic mine</w:t>
            </w:r>
          </w:p>
        </w:tc>
        <w:tc>
          <w:tcPr>
            <w:tcW w:w="14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82,554</w:t>
            </w:r>
          </w:p>
        </w:tc>
        <w:tc>
          <w:tcPr>
            <w:tcW w:w="160" w:type="dxa"/>
            <w:vAlign w:val="bottom"/>
          </w:tcPr>
          <w:p>
            <w:pPr>
              <w:spacing w:after="0"/>
              <w:rPr>
                <w:sz w:val="12"/>
                <w:szCs w:val="12"/>
                <w:color w:val="auto"/>
              </w:rPr>
            </w:pP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(40,814)</w:t>
            </w:r>
          </w:p>
        </w:tc>
        <w:tc>
          <w:tcPr>
            <w:tcW w:w="120" w:type="dxa"/>
            <w:vAlign w:val="bottom"/>
          </w:tcPr>
          <w:p>
            <w:pPr>
              <w:spacing w:after="0"/>
              <w:rPr>
                <w:sz w:val="12"/>
                <w:szCs w:val="12"/>
                <w:color w:val="auto"/>
              </w:rPr>
            </w:pPr>
          </w:p>
        </w:tc>
        <w:tc>
          <w:tcPr>
            <w:tcW w:w="110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(1,258)</w:t>
            </w:r>
          </w:p>
        </w:tc>
        <w:tc>
          <w:tcPr>
            <w:tcW w:w="80" w:type="dxa"/>
            <w:vAlign w:val="bottom"/>
          </w:tcPr>
          <w:p>
            <w:pPr>
              <w:spacing w:after="0"/>
              <w:rPr>
                <w:sz w:val="12"/>
                <w:szCs w:val="12"/>
                <w:color w:val="auto"/>
              </w:rPr>
            </w:pPr>
          </w:p>
        </w:tc>
        <w:tc>
          <w:tcPr>
            <w:tcW w:w="620" w:type="dxa"/>
            <w:vAlign w:val="bottom"/>
            <w:gridSpan w:val="2"/>
          </w:tcPr>
          <w:p>
            <w:pPr>
              <w:jc w:val="right"/>
              <w:ind w:right="20"/>
              <w:spacing w:after="0" w:line="144" w:lineRule="exact"/>
              <w:rPr>
                <w:sz w:val="20"/>
                <w:szCs w:val="20"/>
                <w:color w:val="auto"/>
              </w:rPr>
            </w:pPr>
            <w:r>
              <w:rPr>
                <w:rFonts w:ascii="Arial" w:cs="Arial" w:eastAsia="Arial" w:hAnsi="Arial"/>
                <w:sz w:val="13"/>
                <w:szCs w:val="13"/>
                <w:color w:val="auto"/>
              </w:rPr>
              <w:t>40,482</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Kittila mine</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60,113</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(36,027)</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24,086</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Total Northern Business</w:t>
            </w:r>
          </w:p>
        </w:tc>
        <w:tc>
          <w:tcPr>
            <w:tcW w:w="140" w:type="dxa"/>
            <w:vAlign w:val="bottom"/>
          </w:tcPr>
          <w:p>
            <w:pPr>
              <w:spacing w:after="0"/>
              <w:rPr>
                <w:sz w:val="2"/>
                <w:szCs w:val="2"/>
                <w:color w:val="auto"/>
              </w:rPr>
            </w:pPr>
          </w:p>
        </w:tc>
        <w:tc>
          <w:tcPr>
            <w:tcW w:w="100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62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11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780" w:type="dxa"/>
            <w:vAlign w:val="bottom"/>
            <w:gridSpan w:val="2"/>
            <w:vMerge w:val="continue"/>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383,621</w:t>
            </w:r>
          </w:p>
        </w:tc>
        <w:tc>
          <w:tcPr>
            <w:tcW w:w="160" w:type="dxa"/>
            <w:vAlign w:val="bottom"/>
          </w:tcPr>
          <w:p>
            <w:pPr>
              <w:spacing w:after="0"/>
              <w:rPr>
                <w:sz w:val="13"/>
                <w:szCs w:val="13"/>
                <w:color w:val="auto"/>
              </w:rPr>
            </w:pPr>
          </w:p>
        </w:tc>
        <w:tc>
          <w:tcPr>
            <w:tcW w:w="160" w:type="dxa"/>
            <w:vAlign w:val="bottom"/>
            <w:tcBorders>
              <w:top w:val="single" w:sz="8" w:color="auto"/>
              <w:bottom w:val="single" w:sz="8" w:color="auto"/>
            </w:tcBorders>
          </w:tcPr>
          <w:p>
            <w:pPr>
              <w:spacing w:after="0"/>
              <w:rPr>
                <w:sz w:val="13"/>
                <w:szCs w:val="13"/>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(203,421)</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(6,970)</w:t>
            </w:r>
          </w:p>
        </w:tc>
        <w:tc>
          <w:tcPr>
            <w:tcW w:w="1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173,230</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7"/>
        </w:trPr>
        <w:tc>
          <w:tcPr>
            <w:tcW w:w="1140" w:type="dxa"/>
            <w:vAlign w:val="bottom"/>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4780" w:type="dxa"/>
            <w:vAlign w:val="bottom"/>
            <w:gridSpan w:val="2"/>
            <w:shd w:val="clear" w:color="auto" w:fill="CCEEFF"/>
          </w:tcPr>
          <w:p>
            <w:pPr>
              <w:spacing w:after="0"/>
              <w:rPr>
                <w:sz w:val="20"/>
                <w:szCs w:val="20"/>
                <w:color w:val="auto"/>
              </w:rPr>
            </w:pPr>
            <w:r>
              <w:rPr>
                <w:rFonts w:ascii="Arial" w:cs="Arial" w:eastAsia="Arial" w:hAnsi="Arial"/>
                <w:sz w:val="13"/>
                <w:szCs w:val="13"/>
                <w:b w:val="1"/>
                <w:bCs w:val="1"/>
                <w:color w:val="auto"/>
              </w:rPr>
              <w:t>Southern Business:</w:t>
            </w:r>
          </w:p>
        </w:tc>
        <w:tc>
          <w:tcPr>
            <w:tcW w:w="14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Pinos Altos mine</w:t>
            </w:r>
          </w:p>
        </w:tc>
        <w:tc>
          <w:tcPr>
            <w:tcW w:w="14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59,676</w:t>
            </w:r>
          </w:p>
        </w:tc>
        <w:tc>
          <w:tcPr>
            <w:tcW w:w="160" w:type="dxa"/>
            <w:vAlign w:val="bottom"/>
          </w:tcPr>
          <w:p>
            <w:pPr>
              <w:spacing w:after="0"/>
              <w:rPr>
                <w:sz w:val="12"/>
                <w:szCs w:val="12"/>
                <w:color w:val="auto"/>
              </w:rPr>
            </w:pP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(23,856)</w:t>
            </w:r>
          </w:p>
        </w:tc>
        <w:tc>
          <w:tcPr>
            <w:tcW w:w="120" w:type="dxa"/>
            <w:vAlign w:val="bottom"/>
          </w:tcPr>
          <w:p>
            <w:pPr>
              <w:spacing w:after="0"/>
              <w:rPr>
                <w:sz w:val="12"/>
                <w:szCs w:val="12"/>
                <w:color w:val="auto"/>
              </w:rPr>
            </w:pP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20" w:type="dxa"/>
            <w:vAlign w:val="bottom"/>
            <w:gridSpan w:val="2"/>
          </w:tcPr>
          <w:p>
            <w:pPr>
              <w:jc w:val="right"/>
              <w:ind w:right="20"/>
              <w:spacing w:after="0" w:line="144" w:lineRule="exact"/>
              <w:rPr>
                <w:sz w:val="20"/>
                <w:szCs w:val="20"/>
                <w:color w:val="auto"/>
              </w:rPr>
            </w:pPr>
            <w:r>
              <w:rPr>
                <w:rFonts w:ascii="Arial" w:cs="Arial" w:eastAsia="Arial" w:hAnsi="Arial"/>
                <w:sz w:val="13"/>
                <w:szCs w:val="13"/>
                <w:color w:val="auto"/>
              </w:rPr>
              <w:t>35,820</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Creston Mascota deposit at Pinos Altos</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14,770</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(5,781)</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8,989</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780" w:type="dxa"/>
            <w:vAlign w:val="bottom"/>
            <w:gridSpan w:val="2"/>
          </w:tcPr>
          <w:p>
            <w:pPr>
              <w:spacing w:after="0"/>
              <w:rPr>
                <w:sz w:val="20"/>
                <w:szCs w:val="20"/>
                <w:color w:val="auto"/>
              </w:rPr>
            </w:pPr>
            <w:r>
              <w:rPr>
                <w:rFonts w:ascii="Arial" w:cs="Arial" w:eastAsia="Arial" w:hAnsi="Arial"/>
                <w:sz w:val="13"/>
                <w:szCs w:val="13"/>
                <w:color w:val="auto"/>
              </w:rPr>
              <w:t>La India mine</w:t>
            </w:r>
          </w:p>
        </w:tc>
        <w:tc>
          <w:tcPr>
            <w:tcW w:w="140" w:type="dxa"/>
            <w:vAlign w:val="bottom"/>
          </w:tcPr>
          <w:p>
            <w:pPr>
              <w:spacing w:after="0"/>
              <w:rPr>
                <w:sz w:val="14"/>
                <w:szCs w:val="14"/>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32,464</w:t>
            </w:r>
          </w:p>
        </w:tc>
        <w:tc>
          <w:tcPr>
            <w:tcW w:w="160" w:type="dxa"/>
            <w:vAlign w:val="bottom"/>
          </w:tcPr>
          <w:p>
            <w:pPr>
              <w:spacing w:after="0"/>
              <w:rPr>
                <w:sz w:val="14"/>
                <w:szCs w:val="14"/>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3"/>
                <w:szCs w:val="13"/>
                <w:color w:val="auto"/>
              </w:rPr>
              <w:t>(10,915)</w:t>
            </w:r>
          </w:p>
        </w:tc>
        <w:tc>
          <w:tcPr>
            <w:tcW w:w="120" w:type="dxa"/>
            <w:vAlign w:val="bottom"/>
          </w:tcPr>
          <w:p>
            <w:pPr>
              <w:spacing w:after="0"/>
              <w:rPr>
                <w:sz w:val="14"/>
                <w:szCs w:val="14"/>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3"/>
                <w:szCs w:val="13"/>
                <w:color w:val="auto"/>
              </w:rPr>
              <w:t>21,549</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1140" w:type="dxa"/>
            <w:vAlign w:val="bottom"/>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0" w:lineRule="exact"/>
              <w:rPr>
                <w:sz w:val="20"/>
                <w:szCs w:val="20"/>
                <w:color w:val="auto"/>
              </w:rPr>
            </w:pPr>
            <w:r>
              <w:rPr>
                <w:rFonts w:ascii="Arial" w:cs="Arial" w:eastAsia="Arial" w:hAnsi="Arial"/>
                <w:sz w:val="13"/>
                <w:szCs w:val="13"/>
                <w:b w:val="1"/>
                <w:bCs w:val="1"/>
                <w:color w:val="auto"/>
              </w:rPr>
              <w:t>Total Southern Business</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106,910</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0" w:lineRule="exact"/>
              <w:rPr>
                <w:sz w:val="20"/>
                <w:szCs w:val="20"/>
                <w:color w:val="auto"/>
              </w:rPr>
            </w:pPr>
            <w:r>
              <w:rPr>
                <w:rFonts w:ascii="Arial" w:cs="Arial" w:eastAsia="Arial" w:hAnsi="Arial"/>
                <w:sz w:val="13"/>
                <w:szCs w:val="13"/>
                <w:color w:val="auto"/>
              </w:rPr>
              <w:t>(40,552)</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0" w:lineRule="exact"/>
              <w:rPr>
                <w:sz w:val="20"/>
                <w:szCs w:val="20"/>
                <w:color w:val="auto"/>
              </w:rPr>
            </w:pPr>
            <w:r>
              <w:rPr>
                <w:rFonts w:ascii="Arial" w:cs="Arial" w:eastAsia="Arial" w:hAnsi="Arial"/>
                <w:sz w:val="13"/>
                <w:szCs w:val="13"/>
                <w:color w:val="auto"/>
              </w:rPr>
              <w:t>66,358</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Exploration</w:t>
            </w:r>
          </w:p>
        </w:tc>
        <w:tc>
          <w:tcPr>
            <w:tcW w:w="1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780" w:type="dxa"/>
            <w:vAlign w:val="bottom"/>
            <w:gridSpan w:val="2"/>
            <w:vMerge w:val="continu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7"/>
        </w:trPr>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780" w:type="dxa"/>
            <w:vAlign w:val="bottom"/>
            <w:gridSpan w:val="2"/>
            <w:vMerge w:val="continue"/>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9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(21,415)</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(21,415)</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1140" w:type="dxa"/>
            <w:vAlign w:val="bottom"/>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4780" w:type="dxa"/>
            <w:vAlign w:val="bottom"/>
            <w:gridSpan w:val="2"/>
            <w:shd w:val="clear" w:color="auto" w:fill="CCEEFF"/>
          </w:tcPr>
          <w:p>
            <w:pPr>
              <w:spacing w:after="0" w:line="126" w:lineRule="exact"/>
              <w:rPr>
                <w:sz w:val="20"/>
                <w:szCs w:val="20"/>
                <w:color w:val="auto"/>
              </w:rPr>
            </w:pPr>
            <w:r>
              <w:rPr>
                <w:rFonts w:ascii="Arial" w:cs="Arial" w:eastAsia="Arial" w:hAnsi="Arial"/>
                <w:sz w:val="13"/>
                <w:szCs w:val="13"/>
                <w:b w:val="1"/>
                <w:bCs w:val="1"/>
                <w:color w:val="auto"/>
              </w:rPr>
              <w:t>Segments totals</w:t>
            </w:r>
          </w:p>
        </w:tc>
        <w:tc>
          <w:tcPr>
            <w:tcW w:w="14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60"/>
              <w:spacing w:after="0" w:line="126" w:lineRule="exact"/>
              <w:rPr>
                <w:sz w:val="20"/>
                <w:szCs w:val="20"/>
                <w:color w:val="auto"/>
              </w:rPr>
            </w:pPr>
            <w:r>
              <w:rPr>
                <w:rFonts w:ascii="Arial" w:cs="Arial" w:eastAsia="Arial" w:hAnsi="Arial"/>
                <w:sz w:val="13"/>
                <w:szCs w:val="13"/>
                <w:color w:val="auto"/>
              </w:rPr>
              <w:t>490,531</w:t>
            </w:r>
          </w:p>
        </w:tc>
        <w:tc>
          <w:tcPr>
            <w:tcW w:w="160" w:type="dxa"/>
            <w:vAlign w:val="bottom"/>
            <w:shd w:val="clear" w:color="auto" w:fill="CCEEFF"/>
          </w:tcPr>
          <w:p>
            <w:pPr>
              <w:jc w:val="right"/>
              <w:ind w:right="14"/>
              <w:spacing w:after="0" w:line="126" w:lineRule="exact"/>
              <w:rPr>
                <w:sz w:val="20"/>
                <w:szCs w:val="20"/>
                <w:color w:val="auto"/>
              </w:rPr>
            </w:pPr>
            <w:r>
              <w:rPr>
                <w:rFonts w:ascii="Arial" w:cs="Arial" w:eastAsia="Arial" w:hAnsi="Arial"/>
                <w:sz w:val="13"/>
                <w:szCs w:val="13"/>
                <w:color w:val="auto"/>
                <w:w w:val="82"/>
              </w:rPr>
              <w:t>$</w:t>
            </w:r>
          </w:p>
        </w:tc>
        <w:tc>
          <w:tcPr>
            <w:tcW w:w="780" w:type="dxa"/>
            <w:vAlign w:val="bottom"/>
            <w:gridSpan w:val="2"/>
            <w:shd w:val="clear" w:color="auto" w:fill="CCEEFF"/>
          </w:tcPr>
          <w:p>
            <w:pPr>
              <w:jc w:val="right"/>
              <w:ind w:right="120"/>
              <w:spacing w:after="0" w:line="126" w:lineRule="exact"/>
              <w:rPr>
                <w:sz w:val="20"/>
                <w:szCs w:val="20"/>
                <w:color w:val="auto"/>
              </w:rPr>
            </w:pPr>
            <w:r>
              <w:rPr>
                <w:rFonts w:ascii="Arial" w:cs="Arial" w:eastAsia="Arial" w:hAnsi="Arial"/>
                <w:sz w:val="13"/>
                <w:szCs w:val="13"/>
                <w:color w:val="auto"/>
              </w:rPr>
              <w:t>(243,973)</w:t>
            </w:r>
          </w:p>
        </w:tc>
        <w:tc>
          <w:tcPr>
            <w:tcW w:w="12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1100" w:type="dxa"/>
            <w:vAlign w:val="bottom"/>
            <w:gridSpan w:val="2"/>
            <w:shd w:val="clear" w:color="auto" w:fill="CCEEFF"/>
          </w:tcPr>
          <w:p>
            <w:pPr>
              <w:jc w:val="right"/>
              <w:ind w:right="120"/>
              <w:spacing w:after="0" w:line="126" w:lineRule="exact"/>
              <w:rPr>
                <w:sz w:val="20"/>
                <w:szCs w:val="20"/>
                <w:color w:val="auto"/>
              </w:rPr>
            </w:pPr>
            <w:r>
              <w:rPr>
                <w:rFonts w:ascii="Arial" w:cs="Arial" w:eastAsia="Arial" w:hAnsi="Arial"/>
                <w:sz w:val="13"/>
                <w:szCs w:val="13"/>
                <w:color w:val="auto"/>
              </w:rPr>
              <w:t>(28,385)</w:t>
            </w:r>
          </w:p>
        </w:tc>
        <w:tc>
          <w:tcPr>
            <w:tcW w:w="8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620" w:type="dxa"/>
            <w:vAlign w:val="bottom"/>
            <w:gridSpan w:val="2"/>
            <w:shd w:val="clear" w:color="auto" w:fill="CCEEFF"/>
          </w:tcPr>
          <w:p>
            <w:pPr>
              <w:jc w:val="right"/>
              <w:ind w:right="20"/>
              <w:spacing w:after="0" w:line="126" w:lineRule="exact"/>
              <w:rPr>
                <w:sz w:val="20"/>
                <w:szCs w:val="20"/>
                <w:color w:val="auto"/>
              </w:rPr>
            </w:pPr>
            <w:r>
              <w:rPr>
                <w:rFonts w:ascii="Arial" w:cs="Arial" w:eastAsia="Arial" w:hAnsi="Arial"/>
                <w:sz w:val="13"/>
                <w:szCs w:val="13"/>
                <w:color w:val="auto"/>
              </w:rPr>
              <w:t>218,173</w:t>
            </w:r>
          </w:p>
        </w:tc>
        <w:tc>
          <w:tcPr>
            <w:tcW w:w="12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color w:val="auto"/>
              </w:rPr>
              <w:t>Total segments income</w:t>
            </w:r>
          </w:p>
        </w:tc>
        <w:tc>
          <w:tcPr>
            <w:tcW w:w="1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780" w:type="dxa"/>
            <w:vAlign w:val="bottom"/>
            <w:gridSpan w:val="2"/>
            <w:vMerge w:val="continu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4"/>
        </w:trPr>
        <w:tc>
          <w:tcPr>
            <w:tcW w:w="11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4780" w:type="dxa"/>
            <w:vAlign w:val="bottom"/>
            <w:gridSpan w:val="2"/>
            <w:vMerge w:val="continue"/>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94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Borders>
              <w:top w:val="single" w:sz="8" w:color="auto"/>
            </w:tcBorders>
          </w:tcPr>
          <w:p>
            <w:pPr>
              <w:jc w:val="right"/>
              <w:spacing w:after="0" w:line="124" w:lineRule="exact"/>
              <w:rPr>
                <w:sz w:val="20"/>
                <w:szCs w:val="20"/>
                <w:color w:val="auto"/>
              </w:rPr>
            </w:pPr>
            <w:r>
              <w:rPr>
                <w:rFonts w:ascii="Arial" w:cs="Arial" w:eastAsia="Arial" w:hAnsi="Arial"/>
                <w:sz w:val="13"/>
                <w:szCs w:val="13"/>
                <w:color w:val="auto"/>
                <w:w w:val="82"/>
              </w:rPr>
              <w:t>$</w:t>
            </w:r>
          </w:p>
        </w:tc>
        <w:tc>
          <w:tcPr>
            <w:tcW w:w="600" w:type="dxa"/>
            <w:vAlign w:val="bottom"/>
            <w:tcBorders>
              <w:top w:val="single" w:sz="8" w:color="auto"/>
            </w:tcBorders>
          </w:tcPr>
          <w:p>
            <w:pPr>
              <w:jc w:val="right"/>
              <w:spacing w:after="0" w:line="124" w:lineRule="exact"/>
              <w:rPr>
                <w:sz w:val="20"/>
                <w:szCs w:val="20"/>
                <w:color w:val="auto"/>
              </w:rPr>
            </w:pPr>
            <w:r>
              <w:rPr>
                <w:rFonts w:ascii="Arial" w:cs="Arial" w:eastAsia="Arial" w:hAnsi="Arial"/>
                <w:sz w:val="13"/>
                <w:szCs w:val="13"/>
                <w:color w:val="auto"/>
              </w:rPr>
              <w:t>218,173</w:t>
            </w: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Corporate and other:</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Amortization of property, plant and mine development</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3"/>
          </w:tcPr>
          <w:p>
            <w:pPr>
              <w:jc w:val="right"/>
              <w:ind w:right="100"/>
              <w:spacing w:after="0" w:line="144" w:lineRule="exact"/>
              <w:rPr>
                <w:sz w:val="20"/>
                <w:szCs w:val="20"/>
                <w:color w:val="auto"/>
              </w:rPr>
            </w:pPr>
            <w:r>
              <w:rPr>
                <w:rFonts w:ascii="Arial" w:cs="Arial" w:eastAsia="Arial" w:hAnsi="Arial"/>
                <w:sz w:val="13"/>
                <w:szCs w:val="13"/>
                <w:color w:val="auto"/>
              </w:rPr>
              <w:t>(145,631)</w:t>
            </w: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General and administrative</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3"/>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(24,823)</w:t>
            </w: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Finance costs</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3"/>
          </w:tcPr>
          <w:p>
            <w:pPr>
              <w:jc w:val="right"/>
              <w:ind w:right="100"/>
              <w:spacing w:after="0" w:line="144" w:lineRule="exact"/>
              <w:rPr>
                <w:sz w:val="20"/>
                <w:szCs w:val="20"/>
                <w:color w:val="auto"/>
              </w:rPr>
            </w:pPr>
            <w:r>
              <w:rPr>
                <w:rFonts w:ascii="Arial" w:cs="Arial" w:eastAsia="Arial" w:hAnsi="Arial"/>
                <w:sz w:val="13"/>
                <w:szCs w:val="13"/>
                <w:color w:val="auto"/>
              </w:rPr>
              <w:t>(17,801)</w:t>
            </w: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Gain on derivative financial instruments</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ind w:right="20"/>
              <w:spacing w:after="0" w:line="144" w:lineRule="exact"/>
              <w:rPr>
                <w:sz w:val="20"/>
                <w:szCs w:val="20"/>
                <w:color w:val="auto"/>
              </w:rPr>
            </w:pPr>
            <w:r>
              <w:rPr>
                <w:rFonts w:ascii="Arial" w:cs="Arial" w:eastAsia="Arial" w:hAnsi="Arial"/>
                <w:sz w:val="13"/>
                <w:szCs w:val="13"/>
                <w:color w:val="auto"/>
              </w:rPr>
              <w:t>9,621</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Gain on sale of available-for-sale securities</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tcPr>
          <w:p>
            <w:pPr>
              <w:jc w:val="right"/>
              <w:ind w:right="20"/>
              <w:spacing w:after="0" w:line="144" w:lineRule="exact"/>
              <w:rPr>
                <w:sz w:val="20"/>
                <w:szCs w:val="20"/>
                <w:color w:val="auto"/>
              </w:rPr>
            </w:pPr>
            <w:r>
              <w:rPr>
                <w:rFonts w:ascii="Arial" w:cs="Arial" w:eastAsia="Arial" w:hAnsi="Arial"/>
                <w:sz w:val="13"/>
                <w:szCs w:val="13"/>
                <w:color w:val="auto"/>
              </w:rPr>
              <w:t>119</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Environmental remediation</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3"/>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(5,093)</w:t>
            </w: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Foreign currency translation loss</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3"/>
          </w:tcPr>
          <w:p>
            <w:pPr>
              <w:jc w:val="right"/>
              <w:ind w:right="100"/>
              <w:spacing w:after="0" w:line="144" w:lineRule="exact"/>
              <w:rPr>
                <w:sz w:val="20"/>
                <w:szCs w:val="20"/>
                <w:color w:val="auto"/>
              </w:rPr>
            </w:pPr>
            <w:r>
              <w:rPr>
                <w:rFonts w:ascii="Arial" w:cs="Arial" w:eastAsia="Arial" w:hAnsi="Arial"/>
                <w:sz w:val="13"/>
                <w:szCs w:val="13"/>
                <w:color w:val="auto"/>
              </w:rPr>
              <w:t>(6,770)</w:t>
            </w:r>
          </w:p>
        </w:tc>
        <w:tc>
          <w:tcPr>
            <w:tcW w:w="0" w:type="dxa"/>
            <w:vAlign w:val="bottom"/>
          </w:tcPr>
          <w:p>
            <w:pPr>
              <w:spacing w:after="0"/>
              <w:rPr>
                <w:sz w:val="1"/>
                <w:szCs w:val="1"/>
                <w:color w:val="auto"/>
              </w:rPr>
            </w:pPr>
          </w:p>
        </w:tc>
      </w:tr>
      <w:tr>
        <w:trPr>
          <w:trHeight w:val="144"/>
        </w:trPr>
        <w:tc>
          <w:tcPr>
            <w:tcW w:w="1140" w:type="dxa"/>
            <w:vAlign w:val="bottom"/>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Other expenses</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3"/>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(598)</w:t>
            </w: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color w:val="auto"/>
              </w:rPr>
              <w:t>Income before income and mining taxes</w:t>
            </w:r>
          </w:p>
        </w:tc>
        <w:tc>
          <w:tcPr>
            <w:tcW w:w="1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6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62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11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780" w:type="dxa"/>
            <w:vAlign w:val="bottom"/>
            <w:gridSpan w:val="2"/>
            <w:vMerge w:val="continue"/>
          </w:tcPr>
          <w:p>
            <w:pPr>
              <w:spacing w:after="0"/>
              <w:rPr>
                <w:sz w:val="13"/>
                <w:szCs w:val="13"/>
                <w:color w:val="auto"/>
              </w:rPr>
            </w:pPr>
          </w:p>
        </w:tc>
        <w:tc>
          <w:tcPr>
            <w:tcW w:w="1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27,197</w:t>
            </w:r>
          </w:p>
        </w:tc>
        <w:tc>
          <w:tcPr>
            <w:tcW w:w="2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ind w:left="5620"/>
        <w:spacing w:after="0"/>
        <w:rPr>
          <w:sz w:val="20"/>
          <w:szCs w:val="20"/>
          <w:color w:val="auto"/>
        </w:rPr>
      </w:pPr>
      <w:r>
        <w:rPr>
          <w:rFonts w:ascii="Arial" w:cs="Arial" w:eastAsia="Arial" w:hAnsi="Arial"/>
          <w:sz w:val="17"/>
          <w:szCs w:val="17"/>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0260"/>
          </w:cols>
          <w:pgMar w:left="240" w:top="337" w:right="1399" w:bottom="1440" w:gutter="0" w:footer="0" w:header="0"/>
        </w:sectPr>
      </w:pPr>
    </w:p>
    <w:bookmarkStart w:id="42" w:name="page43"/>
    <w:bookmarkEnd w:id="42"/>
    <w:p>
      <w:pPr>
        <w:jc w:val="center"/>
        <w:ind w:right="-1159"/>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6"/>
          <w:szCs w:val="16"/>
          <w:b w:val="1"/>
          <w:bCs w:val="1"/>
          <w:color w:val="auto"/>
        </w:rPr>
        <w:t>(thousands of United States dollars, except share and per share amounts, unless otherwise indicated)</w:t>
      </w:r>
    </w:p>
    <w:p>
      <w:pPr>
        <w:spacing w:after="0" w:line="26" w:lineRule="exact"/>
        <w:rPr>
          <w:sz w:val="20"/>
          <w:szCs w:val="20"/>
          <w:color w:val="auto"/>
        </w:rPr>
      </w:pPr>
    </w:p>
    <w:p>
      <w:pPr>
        <w:jc w:val="center"/>
        <w:ind w:right="-1159"/>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ind w:right="-1159"/>
        <w:spacing w:after="0"/>
        <w:rPr>
          <w:sz w:val="20"/>
          <w:szCs w:val="20"/>
          <w:color w:val="auto"/>
        </w:rPr>
      </w:pPr>
      <w:r>
        <w:rPr>
          <w:rFonts w:ascii="Arial" w:cs="Arial" w:eastAsia="Arial" w:hAnsi="Arial"/>
          <w:sz w:val="17"/>
          <w:szCs w:val="17"/>
          <w:b w:val="1"/>
          <w:bCs w:val="1"/>
          <w:color w:val="auto"/>
        </w:rPr>
        <w:t>March 31, 2016</w:t>
      </w:r>
    </w:p>
    <w:p>
      <w:pPr>
        <w:spacing w:after="0" w:line="21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13.  SEGMENTED INFORMATION (Continued)</w:t>
      </w:r>
    </w:p>
    <w:p>
      <w:pPr>
        <w:spacing w:after="0" w:line="200" w:lineRule="exact"/>
        <w:rPr>
          <w:sz w:val="20"/>
          <w:szCs w:val="20"/>
          <w:color w:val="auto"/>
        </w:rPr>
      </w:pPr>
    </w:p>
    <w:p>
      <w:pPr>
        <w:spacing w:after="0" w:line="353"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220" w:type="dxa"/>
            <w:vAlign w:val="bottom"/>
          </w:tcPr>
          <w:p>
            <w:pPr>
              <w:spacing w:after="0"/>
              <w:rPr>
                <w:sz w:val="13"/>
                <w:szCs w:val="13"/>
                <w:color w:val="auto"/>
              </w:rPr>
            </w:pPr>
          </w:p>
        </w:tc>
        <w:tc>
          <w:tcPr>
            <w:tcW w:w="2300" w:type="dxa"/>
            <w:vAlign w:val="bottom"/>
          </w:tcPr>
          <w:p>
            <w:pPr>
              <w:spacing w:after="0"/>
              <w:rPr>
                <w:sz w:val="13"/>
                <w:szCs w:val="13"/>
                <w:color w:val="auto"/>
              </w:rPr>
            </w:pPr>
          </w:p>
        </w:tc>
        <w:tc>
          <w:tcPr>
            <w:tcW w:w="2480" w:type="dxa"/>
            <w:vAlign w:val="bottom"/>
          </w:tcPr>
          <w:p>
            <w:pPr>
              <w:spacing w:after="0"/>
              <w:rPr>
                <w:sz w:val="13"/>
                <w:szCs w:val="13"/>
                <w:color w:val="auto"/>
              </w:rPr>
            </w:pPr>
          </w:p>
        </w:tc>
        <w:tc>
          <w:tcPr>
            <w:tcW w:w="1140" w:type="dxa"/>
            <w:vAlign w:val="bottom"/>
            <w:gridSpan w:val="3"/>
          </w:tcPr>
          <w:p>
            <w:pPr>
              <w:jc w:val="center"/>
              <w:ind w:right="140"/>
              <w:spacing w:after="0"/>
              <w:rPr>
                <w:sz w:val="20"/>
                <w:szCs w:val="20"/>
                <w:color w:val="auto"/>
              </w:rPr>
            </w:pPr>
            <w:r>
              <w:rPr>
                <w:rFonts w:ascii="Arial" w:cs="Arial" w:eastAsia="Arial" w:hAnsi="Arial"/>
                <w:sz w:val="13"/>
                <w:szCs w:val="13"/>
                <w:b w:val="1"/>
                <w:bCs w:val="1"/>
                <w:color w:val="auto"/>
                <w:w w:val="89"/>
              </w:rPr>
              <w:t>Revenues from</w:t>
            </w:r>
          </w:p>
        </w:tc>
        <w:tc>
          <w:tcPr>
            <w:tcW w:w="1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20" w:type="dxa"/>
            <w:vAlign w:val="bottom"/>
            <w:gridSpan w:val="3"/>
          </w:tcPr>
          <w:p>
            <w:pPr>
              <w:jc w:val="center"/>
              <w:ind w:right="160"/>
              <w:spacing w:after="0"/>
              <w:rPr>
                <w:sz w:val="20"/>
                <w:szCs w:val="20"/>
                <w:color w:val="auto"/>
              </w:rPr>
            </w:pPr>
            <w:r>
              <w:rPr>
                <w:rFonts w:ascii="Arial" w:cs="Arial" w:eastAsia="Arial" w:hAnsi="Arial"/>
                <w:sz w:val="13"/>
                <w:szCs w:val="13"/>
                <w:b w:val="1"/>
                <w:bCs w:val="1"/>
                <w:color w:val="auto"/>
                <w:w w:val="91"/>
              </w:rPr>
              <w:t>Exploration and</w:t>
            </w:r>
          </w:p>
        </w:tc>
        <w:tc>
          <w:tcPr>
            <w:tcW w:w="80" w:type="dxa"/>
            <w:vAlign w:val="bottom"/>
          </w:tcPr>
          <w:p>
            <w:pPr>
              <w:spacing w:after="0"/>
              <w:rPr>
                <w:sz w:val="13"/>
                <w:szCs w:val="13"/>
                <w:color w:val="auto"/>
              </w:rPr>
            </w:pPr>
          </w:p>
        </w:tc>
        <w:tc>
          <w:tcPr>
            <w:tcW w:w="74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7"/>
              </w:rPr>
              <w:t>Segment</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24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95"/>
              </w:rPr>
              <w:t>Mining</w:t>
            </w:r>
          </w:p>
        </w:tc>
        <w:tc>
          <w:tcPr>
            <w:tcW w:w="940" w:type="dxa"/>
            <w:vAlign w:val="bottom"/>
            <w:gridSpan w:val="3"/>
          </w:tcPr>
          <w:p>
            <w:pPr>
              <w:jc w:val="right"/>
              <w:ind w:right="240"/>
              <w:spacing w:after="0" w:line="144" w:lineRule="exact"/>
              <w:rPr>
                <w:sz w:val="20"/>
                <w:szCs w:val="20"/>
                <w:color w:val="auto"/>
              </w:rPr>
            </w:pPr>
            <w:r>
              <w:rPr>
                <w:rFonts w:ascii="Arial" w:cs="Arial" w:eastAsia="Arial" w:hAnsi="Arial"/>
                <w:sz w:val="13"/>
                <w:szCs w:val="13"/>
                <w:b w:val="1"/>
                <w:bCs w:val="1"/>
                <w:color w:val="auto"/>
                <w:w w:val="99"/>
              </w:rPr>
              <w:t>Production</w:t>
            </w:r>
          </w:p>
        </w:tc>
        <w:tc>
          <w:tcPr>
            <w:tcW w:w="120" w:type="dxa"/>
            <w:vAlign w:val="bottom"/>
          </w:tcPr>
          <w:p>
            <w:pPr>
              <w:spacing w:after="0"/>
              <w:rPr>
                <w:sz w:val="12"/>
                <w:szCs w:val="12"/>
                <w:color w:val="auto"/>
              </w:rPr>
            </w:pPr>
          </w:p>
        </w:tc>
        <w:tc>
          <w:tcPr>
            <w:tcW w:w="11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93"/>
              </w:rPr>
              <w:t>Corporate</w:t>
            </w:r>
          </w:p>
        </w:tc>
        <w:tc>
          <w:tcPr>
            <w:tcW w:w="80" w:type="dxa"/>
            <w:vAlign w:val="bottom"/>
          </w:tcPr>
          <w:p>
            <w:pPr>
              <w:spacing w:after="0"/>
              <w:rPr>
                <w:sz w:val="12"/>
                <w:szCs w:val="12"/>
                <w:color w:val="auto"/>
              </w:rPr>
            </w:pPr>
          </w:p>
        </w:tc>
        <w:tc>
          <w:tcPr>
            <w:tcW w:w="740" w:type="dxa"/>
            <w:vAlign w:val="bottom"/>
            <w:gridSpan w:val="2"/>
          </w:tcPr>
          <w:p>
            <w:pPr>
              <w:jc w:val="center"/>
              <w:ind w:right="220"/>
              <w:spacing w:after="0" w:line="144" w:lineRule="exact"/>
              <w:rPr>
                <w:sz w:val="20"/>
                <w:szCs w:val="20"/>
                <w:color w:val="auto"/>
              </w:rPr>
            </w:pPr>
            <w:r>
              <w:rPr>
                <w:rFonts w:ascii="Arial" w:cs="Arial" w:eastAsia="Arial" w:hAnsi="Arial"/>
                <w:sz w:val="13"/>
                <w:szCs w:val="13"/>
                <w:b w:val="1"/>
                <w:bCs w:val="1"/>
                <w:color w:val="auto"/>
                <w:w w:val="87"/>
              </w:rPr>
              <w:t>Income</w:t>
            </w:r>
          </w:p>
        </w:tc>
        <w:tc>
          <w:tcPr>
            <w:tcW w:w="0" w:type="dxa"/>
            <w:vAlign w:val="bottom"/>
          </w:tcPr>
          <w:p>
            <w:pPr>
              <w:spacing w:after="0"/>
              <w:rPr>
                <w:sz w:val="1"/>
                <w:szCs w:val="1"/>
                <w:color w:val="auto"/>
              </w:rPr>
            </w:pPr>
          </w:p>
        </w:tc>
      </w:tr>
      <w:tr>
        <w:trPr>
          <w:trHeight w:val="157"/>
        </w:trPr>
        <w:tc>
          <w:tcPr>
            <w:tcW w:w="220" w:type="dxa"/>
            <w:vAlign w:val="bottom"/>
          </w:tcPr>
          <w:p>
            <w:pPr>
              <w:spacing w:after="0"/>
              <w:rPr>
                <w:sz w:val="13"/>
                <w:szCs w:val="13"/>
                <w:color w:val="auto"/>
              </w:rPr>
            </w:pPr>
          </w:p>
        </w:tc>
        <w:tc>
          <w:tcPr>
            <w:tcW w:w="2300" w:type="dxa"/>
            <w:vAlign w:val="bottom"/>
            <w:tcBorders>
              <w:bottom w:val="single" w:sz="8" w:color="auto"/>
            </w:tcBorders>
          </w:tcPr>
          <w:p>
            <w:pPr>
              <w:spacing w:after="0"/>
              <w:rPr>
                <w:sz w:val="20"/>
                <w:szCs w:val="20"/>
                <w:color w:val="auto"/>
              </w:rPr>
            </w:pPr>
            <w:r>
              <w:rPr>
                <w:rFonts w:ascii="Arial" w:cs="Arial" w:eastAsia="Arial" w:hAnsi="Arial"/>
                <w:sz w:val="13"/>
                <w:szCs w:val="13"/>
                <w:b w:val="1"/>
                <w:bCs w:val="1"/>
                <w:color w:val="auto"/>
                <w:w w:val="99"/>
              </w:rPr>
              <w:t>Three Months Ended March 31, 2015:</w:t>
            </w:r>
          </w:p>
        </w:tc>
        <w:tc>
          <w:tcPr>
            <w:tcW w:w="248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center"/>
              <w:ind w:right="54"/>
              <w:spacing w:after="0"/>
              <w:rPr>
                <w:sz w:val="20"/>
                <w:szCs w:val="20"/>
                <w:color w:val="auto"/>
              </w:rPr>
            </w:pPr>
            <w:r>
              <w:rPr>
                <w:rFonts w:ascii="Arial" w:cs="Arial" w:eastAsia="Arial" w:hAnsi="Arial"/>
                <w:sz w:val="13"/>
                <w:szCs w:val="13"/>
                <w:b w:val="1"/>
                <w:bCs w:val="1"/>
                <w:color w:val="auto"/>
                <w:w w:val="93"/>
              </w:rPr>
              <w:t>Operations</w:t>
            </w:r>
          </w:p>
        </w:tc>
        <w:tc>
          <w:tcPr>
            <w:tcW w:w="16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jc w:val="right"/>
              <w:ind w:right="174"/>
              <w:spacing w:after="0"/>
              <w:rPr>
                <w:sz w:val="20"/>
                <w:szCs w:val="20"/>
                <w:color w:val="auto"/>
              </w:rPr>
            </w:pPr>
            <w:r>
              <w:rPr>
                <w:rFonts w:ascii="Arial" w:cs="Arial" w:eastAsia="Arial" w:hAnsi="Arial"/>
                <w:sz w:val="13"/>
                <w:szCs w:val="13"/>
                <w:b w:val="1"/>
                <w:bCs w:val="1"/>
                <w:color w:val="auto"/>
                <w:w w:val="99"/>
              </w:rPr>
              <w:t>Costs</w:t>
            </w:r>
          </w:p>
        </w:tc>
        <w:tc>
          <w:tcPr>
            <w:tcW w:w="16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940" w:type="dxa"/>
            <w:vAlign w:val="bottom"/>
            <w:tcBorders>
              <w:bottom w:val="single" w:sz="8" w:color="auto"/>
            </w:tcBorders>
          </w:tcPr>
          <w:p>
            <w:pPr>
              <w:jc w:val="center"/>
              <w:ind w:right="54"/>
              <w:spacing w:after="0"/>
              <w:rPr>
                <w:sz w:val="20"/>
                <w:szCs w:val="20"/>
                <w:color w:val="auto"/>
              </w:rPr>
            </w:pPr>
            <w:r>
              <w:rPr>
                <w:rFonts w:ascii="Arial" w:cs="Arial" w:eastAsia="Arial" w:hAnsi="Arial"/>
                <w:sz w:val="13"/>
                <w:szCs w:val="13"/>
                <w:b w:val="1"/>
                <w:bCs w:val="1"/>
                <w:color w:val="auto"/>
                <w:w w:val="90"/>
              </w:rPr>
              <w:t>Development</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jc w:val="center"/>
              <w:ind w:right="34"/>
              <w:spacing w:after="0"/>
              <w:rPr>
                <w:sz w:val="20"/>
                <w:szCs w:val="20"/>
                <w:color w:val="auto"/>
              </w:rPr>
            </w:pPr>
            <w:r>
              <w:rPr>
                <w:rFonts w:ascii="Arial" w:cs="Arial" w:eastAsia="Arial" w:hAnsi="Arial"/>
                <w:sz w:val="13"/>
                <w:szCs w:val="13"/>
                <w:b w:val="1"/>
                <w:bCs w:val="1"/>
                <w:color w:val="auto"/>
                <w:w w:val="87"/>
              </w:rPr>
              <w:t>(Loss)</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220" w:type="dxa"/>
            <w:vAlign w:val="bottom"/>
            <w:shd w:val="clear" w:color="auto" w:fill="CCEEFF"/>
          </w:tcPr>
          <w:p>
            <w:pPr>
              <w:spacing w:after="0"/>
              <w:rPr>
                <w:sz w:val="11"/>
                <w:szCs w:val="11"/>
                <w:color w:val="auto"/>
              </w:rPr>
            </w:pPr>
          </w:p>
        </w:tc>
        <w:tc>
          <w:tcPr>
            <w:tcW w:w="4780" w:type="dxa"/>
            <w:vAlign w:val="bottom"/>
            <w:gridSpan w:val="2"/>
            <w:shd w:val="clear" w:color="auto" w:fill="CCEEFF"/>
          </w:tcPr>
          <w:p>
            <w:pPr>
              <w:spacing w:after="0" w:line="138" w:lineRule="exact"/>
              <w:rPr>
                <w:sz w:val="20"/>
                <w:szCs w:val="20"/>
                <w:color w:val="auto"/>
              </w:rPr>
            </w:pPr>
            <w:r>
              <w:rPr>
                <w:rFonts w:ascii="Arial" w:cs="Arial" w:eastAsia="Arial" w:hAnsi="Arial"/>
                <w:sz w:val="13"/>
                <w:szCs w:val="13"/>
                <w:b w:val="1"/>
                <w:bCs w:val="1"/>
                <w:color w:val="auto"/>
              </w:rPr>
              <w:t>Northern Business:</w:t>
            </w:r>
          </w:p>
        </w:tc>
        <w:tc>
          <w:tcPr>
            <w:tcW w:w="14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LaRonde mine</w:t>
            </w:r>
          </w:p>
        </w:tc>
        <w:tc>
          <w:tcPr>
            <w:tcW w:w="14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75,880</w:t>
            </w:r>
          </w:p>
        </w:tc>
        <w:tc>
          <w:tcPr>
            <w:tcW w:w="160" w:type="dxa"/>
            <w:vAlign w:val="bottom"/>
          </w:tcPr>
          <w:p>
            <w:pPr>
              <w:jc w:val="right"/>
              <w:ind w:right="14"/>
              <w:spacing w:after="0" w:line="144" w:lineRule="exact"/>
              <w:rPr>
                <w:sz w:val="20"/>
                <w:szCs w:val="20"/>
                <w:color w:val="auto"/>
              </w:rPr>
            </w:pPr>
            <w:r>
              <w:rPr>
                <w:rFonts w:ascii="Arial" w:cs="Arial" w:eastAsia="Arial" w:hAnsi="Arial"/>
                <w:sz w:val="13"/>
                <w:szCs w:val="13"/>
                <w:color w:val="auto"/>
                <w:w w:val="82"/>
              </w:rPr>
              <w:t>$</w:t>
            </w: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(45,865)</w:t>
            </w:r>
          </w:p>
        </w:tc>
        <w:tc>
          <w:tcPr>
            <w:tcW w:w="12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30,015</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Lapa mine</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28,672</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(13,985)</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14,687</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Goldex mine</w:t>
            </w:r>
          </w:p>
        </w:tc>
        <w:tc>
          <w:tcPr>
            <w:tcW w:w="14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34,119</w:t>
            </w:r>
          </w:p>
        </w:tc>
        <w:tc>
          <w:tcPr>
            <w:tcW w:w="160" w:type="dxa"/>
            <w:vAlign w:val="bottom"/>
          </w:tcPr>
          <w:p>
            <w:pPr>
              <w:spacing w:after="0"/>
              <w:rPr>
                <w:sz w:val="12"/>
                <w:szCs w:val="12"/>
                <w:color w:val="auto"/>
              </w:rPr>
            </w:pP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(14,866)</w:t>
            </w:r>
          </w:p>
        </w:tc>
        <w:tc>
          <w:tcPr>
            <w:tcW w:w="120" w:type="dxa"/>
            <w:vAlign w:val="bottom"/>
          </w:tcPr>
          <w:p>
            <w:pPr>
              <w:spacing w:after="0"/>
              <w:rPr>
                <w:sz w:val="12"/>
                <w:szCs w:val="12"/>
                <w:color w:val="auto"/>
              </w:rPr>
            </w:pP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19,253</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Meadowbank mine</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103,673</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(57,096)</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46,577</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Canadian Malartic mine</w:t>
            </w:r>
          </w:p>
        </w:tc>
        <w:tc>
          <w:tcPr>
            <w:tcW w:w="14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75,904</w:t>
            </w:r>
          </w:p>
        </w:tc>
        <w:tc>
          <w:tcPr>
            <w:tcW w:w="160" w:type="dxa"/>
            <w:vAlign w:val="bottom"/>
          </w:tcPr>
          <w:p>
            <w:pPr>
              <w:spacing w:after="0"/>
              <w:rPr>
                <w:sz w:val="12"/>
                <w:szCs w:val="12"/>
                <w:color w:val="auto"/>
              </w:rPr>
            </w:pP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(41,186)</w:t>
            </w:r>
          </w:p>
        </w:tc>
        <w:tc>
          <w:tcPr>
            <w:tcW w:w="120" w:type="dxa"/>
            <w:vAlign w:val="bottom"/>
          </w:tcPr>
          <w:p>
            <w:pPr>
              <w:spacing w:after="0"/>
              <w:rPr>
                <w:sz w:val="12"/>
                <w:szCs w:val="12"/>
                <w:color w:val="auto"/>
              </w:rPr>
            </w:pPr>
          </w:p>
        </w:tc>
        <w:tc>
          <w:tcPr>
            <w:tcW w:w="110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(1,081)</w:t>
            </w:r>
          </w:p>
        </w:tc>
        <w:tc>
          <w:tcPr>
            <w:tcW w:w="8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33,637</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Kittila mine</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59,414</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(31,999)</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27,415</w:t>
            </w:r>
          </w:p>
        </w:tc>
        <w:tc>
          <w:tcPr>
            <w:tcW w:w="0" w:type="dxa"/>
            <w:vAlign w:val="bottom"/>
          </w:tcPr>
          <w:p>
            <w:pPr>
              <w:spacing w:after="0"/>
              <w:rPr>
                <w:sz w:val="1"/>
                <w:szCs w:val="1"/>
                <w:color w:val="auto"/>
              </w:rPr>
            </w:pPr>
          </w:p>
        </w:tc>
      </w:tr>
      <w:tr>
        <w:trPr>
          <w:trHeight w:val="26"/>
        </w:trPr>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Total Northern Business</w:t>
            </w:r>
          </w:p>
        </w:tc>
        <w:tc>
          <w:tcPr>
            <w:tcW w:w="140" w:type="dxa"/>
            <w:vAlign w:val="bottom"/>
          </w:tcPr>
          <w:p>
            <w:pPr>
              <w:spacing w:after="0"/>
              <w:rPr>
                <w:sz w:val="2"/>
                <w:szCs w:val="2"/>
                <w:color w:val="auto"/>
              </w:rPr>
            </w:pPr>
          </w:p>
        </w:tc>
        <w:tc>
          <w:tcPr>
            <w:tcW w:w="100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220" w:type="dxa"/>
            <w:vAlign w:val="bottom"/>
          </w:tcPr>
          <w:p>
            <w:pPr>
              <w:spacing w:after="0"/>
              <w:rPr>
                <w:sz w:val="13"/>
                <w:szCs w:val="13"/>
                <w:color w:val="auto"/>
              </w:rPr>
            </w:pPr>
          </w:p>
        </w:tc>
        <w:tc>
          <w:tcPr>
            <w:tcW w:w="4780" w:type="dxa"/>
            <w:vAlign w:val="bottom"/>
            <w:gridSpan w:val="2"/>
            <w:vMerge w:val="continue"/>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377,662</w:t>
            </w:r>
          </w:p>
        </w:tc>
        <w:tc>
          <w:tcPr>
            <w:tcW w:w="160" w:type="dxa"/>
            <w:vAlign w:val="bottom"/>
          </w:tcPr>
          <w:p>
            <w:pPr>
              <w:spacing w:after="0"/>
              <w:rPr>
                <w:sz w:val="13"/>
                <w:szCs w:val="13"/>
                <w:color w:val="auto"/>
              </w:rPr>
            </w:pPr>
          </w:p>
        </w:tc>
        <w:tc>
          <w:tcPr>
            <w:tcW w:w="160" w:type="dxa"/>
            <w:vAlign w:val="bottom"/>
            <w:tcBorders>
              <w:top w:val="single" w:sz="8" w:color="auto"/>
              <w:bottom w:val="single" w:sz="8" w:color="auto"/>
            </w:tcBorders>
          </w:tcPr>
          <w:p>
            <w:pPr>
              <w:spacing w:after="0"/>
              <w:rPr>
                <w:sz w:val="13"/>
                <w:szCs w:val="13"/>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(204,997)</w:t>
            </w:r>
          </w:p>
        </w:tc>
        <w:tc>
          <w:tcPr>
            <w:tcW w:w="160" w:type="dxa"/>
            <w:vAlign w:val="bottom"/>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(1,081)</w:t>
            </w:r>
          </w:p>
        </w:tc>
        <w:tc>
          <w:tcPr>
            <w:tcW w:w="1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171,584</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7"/>
        </w:trPr>
        <w:tc>
          <w:tcPr>
            <w:tcW w:w="220" w:type="dxa"/>
            <w:vAlign w:val="bottom"/>
            <w:shd w:val="clear" w:color="auto" w:fill="CCEEFF"/>
          </w:tcPr>
          <w:p>
            <w:pPr>
              <w:spacing w:after="0"/>
              <w:rPr>
                <w:sz w:val="24"/>
                <w:szCs w:val="24"/>
                <w:color w:val="auto"/>
              </w:rPr>
            </w:pPr>
          </w:p>
        </w:tc>
        <w:tc>
          <w:tcPr>
            <w:tcW w:w="4780" w:type="dxa"/>
            <w:vAlign w:val="bottom"/>
            <w:gridSpan w:val="2"/>
            <w:shd w:val="clear" w:color="auto" w:fill="CCEEFF"/>
          </w:tcPr>
          <w:p>
            <w:pPr>
              <w:spacing w:after="0"/>
              <w:rPr>
                <w:sz w:val="20"/>
                <w:szCs w:val="20"/>
                <w:color w:val="auto"/>
              </w:rPr>
            </w:pPr>
            <w:r>
              <w:rPr>
                <w:rFonts w:ascii="Arial" w:cs="Arial" w:eastAsia="Arial" w:hAnsi="Arial"/>
                <w:sz w:val="13"/>
                <w:szCs w:val="13"/>
                <w:b w:val="1"/>
                <w:bCs w:val="1"/>
                <w:color w:val="auto"/>
              </w:rPr>
              <w:t>Southern Business:</w:t>
            </w:r>
          </w:p>
        </w:tc>
        <w:tc>
          <w:tcPr>
            <w:tcW w:w="14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spacing w:after="0" w:line="144" w:lineRule="exact"/>
              <w:rPr>
                <w:sz w:val="20"/>
                <w:szCs w:val="20"/>
                <w:color w:val="auto"/>
              </w:rPr>
            </w:pPr>
            <w:r>
              <w:rPr>
                <w:rFonts w:ascii="Arial" w:cs="Arial" w:eastAsia="Arial" w:hAnsi="Arial"/>
                <w:sz w:val="13"/>
                <w:szCs w:val="13"/>
                <w:color w:val="auto"/>
              </w:rPr>
              <w:t>Pinos Altos mine</w:t>
            </w:r>
          </w:p>
        </w:tc>
        <w:tc>
          <w:tcPr>
            <w:tcW w:w="140" w:type="dxa"/>
            <w:vAlign w:val="bottom"/>
          </w:tcPr>
          <w:p>
            <w:pPr>
              <w:spacing w:after="0"/>
              <w:rPr>
                <w:sz w:val="12"/>
                <w:szCs w:val="12"/>
                <w:color w:val="auto"/>
              </w:rPr>
            </w:pPr>
          </w:p>
        </w:tc>
        <w:tc>
          <w:tcPr>
            <w:tcW w:w="10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58,864</w:t>
            </w:r>
          </w:p>
        </w:tc>
        <w:tc>
          <w:tcPr>
            <w:tcW w:w="160" w:type="dxa"/>
            <w:vAlign w:val="bottom"/>
          </w:tcPr>
          <w:p>
            <w:pPr>
              <w:spacing w:after="0"/>
              <w:rPr>
                <w:sz w:val="12"/>
                <w:szCs w:val="12"/>
                <w:color w:val="auto"/>
              </w:rPr>
            </w:pPr>
          </w:p>
        </w:tc>
        <w:tc>
          <w:tcPr>
            <w:tcW w:w="780" w:type="dxa"/>
            <w:vAlign w:val="bottom"/>
            <w:gridSpan w:val="2"/>
          </w:tcPr>
          <w:p>
            <w:pPr>
              <w:jc w:val="right"/>
              <w:ind w:right="120"/>
              <w:spacing w:after="0" w:line="144" w:lineRule="exact"/>
              <w:rPr>
                <w:sz w:val="20"/>
                <w:szCs w:val="20"/>
                <w:color w:val="auto"/>
              </w:rPr>
            </w:pPr>
            <w:r>
              <w:rPr>
                <w:rFonts w:ascii="Arial" w:cs="Arial" w:eastAsia="Arial" w:hAnsi="Arial"/>
                <w:sz w:val="13"/>
                <w:szCs w:val="13"/>
                <w:color w:val="auto"/>
              </w:rPr>
              <w:t>(24,212)</w:t>
            </w:r>
          </w:p>
        </w:tc>
        <w:tc>
          <w:tcPr>
            <w:tcW w:w="120" w:type="dxa"/>
            <w:vAlign w:val="bottom"/>
          </w:tcPr>
          <w:p>
            <w:pPr>
              <w:spacing w:after="0"/>
              <w:rPr>
                <w:sz w:val="12"/>
                <w:szCs w:val="12"/>
                <w:color w:val="auto"/>
              </w:rPr>
            </w:pPr>
          </w:p>
        </w:tc>
        <w:tc>
          <w:tcPr>
            <w:tcW w:w="110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74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34,652</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Creston Mascota deposit at Pinos Altos</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14,015</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4" w:lineRule="exact"/>
              <w:rPr>
                <w:sz w:val="20"/>
                <w:szCs w:val="20"/>
                <w:color w:val="auto"/>
              </w:rPr>
            </w:pPr>
            <w:r>
              <w:rPr>
                <w:rFonts w:ascii="Arial" w:cs="Arial" w:eastAsia="Arial" w:hAnsi="Arial"/>
                <w:sz w:val="13"/>
                <w:szCs w:val="13"/>
                <w:color w:val="auto"/>
              </w:rPr>
              <w:t>(5,606)</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8,409</w:t>
            </w:r>
          </w:p>
        </w:tc>
        <w:tc>
          <w:tcPr>
            <w:tcW w:w="0" w:type="dxa"/>
            <w:vAlign w:val="bottom"/>
          </w:tcPr>
          <w:p>
            <w:pPr>
              <w:spacing w:after="0"/>
              <w:rPr>
                <w:sz w:val="1"/>
                <w:szCs w:val="1"/>
                <w:color w:val="auto"/>
              </w:rPr>
            </w:pPr>
          </w:p>
        </w:tc>
      </w:tr>
      <w:tr>
        <w:trPr>
          <w:trHeight w:val="168"/>
        </w:trPr>
        <w:tc>
          <w:tcPr>
            <w:tcW w:w="220" w:type="dxa"/>
            <w:vAlign w:val="bottom"/>
          </w:tcPr>
          <w:p>
            <w:pPr>
              <w:spacing w:after="0"/>
              <w:rPr>
                <w:sz w:val="14"/>
                <w:szCs w:val="14"/>
                <w:color w:val="auto"/>
              </w:rPr>
            </w:pPr>
          </w:p>
        </w:tc>
        <w:tc>
          <w:tcPr>
            <w:tcW w:w="4780" w:type="dxa"/>
            <w:vAlign w:val="bottom"/>
            <w:gridSpan w:val="2"/>
          </w:tcPr>
          <w:p>
            <w:pPr>
              <w:spacing w:after="0"/>
              <w:rPr>
                <w:sz w:val="20"/>
                <w:szCs w:val="20"/>
                <w:color w:val="auto"/>
              </w:rPr>
            </w:pPr>
            <w:r>
              <w:rPr>
                <w:rFonts w:ascii="Arial" w:cs="Arial" w:eastAsia="Arial" w:hAnsi="Arial"/>
                <w:sz w:val="13"/>
                <w:szCs w:val="13"/>
                <w:color w:val="auto"/>
              </w:rPr>
              <w:t>La India mine</w:t>
            </w:r>
          </w:p>
        </w:tc>
        <w:tc>
          <w:tcPr>
            <w:tcW w:w="140" w:type="dxa"/>
            <w:vAlign w:val="bottom"/>
          </w:tcPr>
          <w:p>
            <w:pPr>
              <w:spacing w:after="0"/>
              <w:rPr>
                <w:sz w:val="14"/>
                <w:szCs w:val="14"/>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3"/>
                <w:szCs w:val="13"/>
                <w:color w:val="auto"/>
              </w:rPr>
              <w:t>33,055</w:t>
            </w:r>
          </w:p>
        </w:tc>
        <w:tc>
          <w:tcPr>
            <w:tcW w:w="160" w:type="dxa"/>
            <w:vAlign w:val="bottom"/>
          </w:tcPr>
          <w:p>
            <w:pPr>
              <w:spacing w:after="0"/>
              <w:rPr>
                <w:sz w:val="14"/>
                <w:szCs w:val="14"/>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3"/>
                <w:szCs w:val="13"/>
                <w:color w:val="auto"/>
              </w:rPr>
              <w:t>(12,465)</w:t>
            </w:r>
          </w:p>
        </w:tc>
        <w:tc>
          <w:tcPr>
            <w:tcW w:w="120" w:type="dxa"/>
            <w:vAlign w:val="bottom"/>
          </w:tcPr>
          <w:p>
            <w:pPr>
              <w:spacing w:after="0"/>
              <w:rPr>
                <w:sz w:val="14"/>
                <w:szCs w:val="14"/>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3"/>
                <w:szCs w:val="13"/>
                <w:color w:val="auto"/>
              </w:rPr>
              <w:t>20,590</w:t>
            </w: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0" w:lineRule="exact"/>
              <w:rPr>
                <w:sz w:val="20"/>
                <w:szCs w:val="20"/>
                <w:color w:val="auto"/>
              </w:rPr>
            </w:pPr>
            <w:r>
              <w:rPr>
                <w:rFonts w:ascii="Arial" w:cs="Arial" w:eastAsia="Arial" w:hAnsi="Arial"/>
                <w:sz w:val="13"/>
                <w:szCs w:val="13"/>
                <w:b w:val="1"/>
                <w:bCs w:val="1"/>
                <w:color w:val="auto"/>
              </w:rPr>
              <w:t>Total Southern Business</w:t>
            </w: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105,934</w:t>
            </w:r>
          </w:p>
        </w:tc>
        <w:tc>
          <w:tcPr>
            <w:tcW w:w="1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0" w:lineRule="exact"/>
              <w:rPr>
                <w:sz w:val="20"/>
                <w:szCs w:val="20"/>
                <w:color w:val="auto"/>
              </w:rPr>
            </w:pPr>
            <w:r>
              <w:rPr>
                <w:rFonts w:ascii="Arial" w:cs="Arial" w:eastAsia="Arial" w:hAnsi="Arial"/>
                <w:sz w:val="13"/>
                <w:szCs w:val="13"/>
                <w:color w:val="auto"/>
              </w:rPr>
              <w:t>(42,283)</w:t>
            </w: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63,651</w:t>
            </w:r>
          </w:p>
        </w:tc>
        <w:tc>
          <w:tcPr>
            <w:tcW w:w="0" w:type="dxa"/>
            <w:vAlign w:val="bottom"/>
          </w:tcPr>
          <w:p>
            <w:pPr>
              <w:spacing w:after="0"/>
              <w:rPr>
                <w:sz w:val="1"/>
                <w:szCs w:val="1"/>
                <w:color w:val="auto"/>
              </w:rPr>
            </w:pPr>
          </w:p>
        </w:tc>
      </w:tr>
      <w:tr>
        <w:trPr>
          <w:trHeight w:val="26"/>
        </w:trPr>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Exploration</w:t>
            </w:r>
          </w:p>
        </w:tc>
        <w:tc>
          <w:tcPr>
            <w:tcW w:w="1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4780" w:type="dxa"/>
            <w:vAlign w:val="bottom"/>
            <w:gridSpan w:val="2"/>
            <w:vMerge w:val="continu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7"/>
        </w:trPr>
        <w:tc>
          <w:tcPr>
            <w:tcW w:w="220" w:type="dxa"/>
            <w:vAlign w:val="bottom"/>
          </w:tcPr>
          <w:p>
            <w:pPr>
              <w:spacing w:after="0"/>
              <w:rPr>
                <w:sz w:val="12"/>
                <w:szCs w:val="12"/>
                <w:color w:val="auto"/>
              </w:rPr>
            </w:pPr>
          </w:p>
        </w:tc>
        <w:tc>
          <w:tcPr>
            <w:tcW w:w="4780" w:type="dxa"/>
            <w:vAlign w:val="bottom"/>
            <w:gridSpan w:val="2"/>
            <w:vMerge w:val="continue"/>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9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(15,570)</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(15,570)</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220" w:type="dxa"/>
            <w:vAlign w:val="bottom"/>
            <w:shd w:val="clear" w:color="auto" w:fill="CCEEFF"/>
          </w:tcPr>
          <w:p>
            <w:pPr>
              <w:spacing w:after="0"/>
              <w:rPr>
                <w:sz w:val="10"/>
                <w:szCs w:val="10"/>
                <w:color w:val="auto"/>
              </w:rPr>
            </w:pPr>
          </w:p>
        </w:tc>
        <w:tc>
          <w:tcPr>
            <w:tcW w:w="4780" w:type="dxa"/>
            <w:vAlign w:val="bottom"/>
            <w:gridSpan w:val="2"/>
            <w:shd w:val="clear" w:color="auto" w:fill="CCEEFF"/>
          </w:tcPr>
          <w:p>
            <w:pPr>
              <w:spacing w:after="0" w:line="126" w:lineRule="exact"/>
              <w:rPr>
                <w:sz w:val="20"/>
                <w:szCs w:val="20"/>
                <w:color w:val="auto"/>
              </w:rPr>
            </w:pPr>
            <w:r>
              <w:rPr>
                <w:rFonts w:ascii="Arial" w:cs="Arial" w:eastAsia="Arial" w:hAnsi="Arial"/>
                <w:sz w:val="13"/>
                <w:szCs w:val="13"/>
                <w:b w:val="1"/>
                <w:bCs w:val="1"/>
                <w:color w:val="auto"/>
              </w:rPr>
              <w:t>Segments totals</w:t>
            </w:r>
          </w:p>
        </w:tc>
        <w:tc>
          <w:tcPr>
            <w:tcW w:w="14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60"/>
              <w:spacing w:after="0" w:line="126" w:lineRule="exact"/>
              <w:rPr>
                <w:sz w:val="20"/>
                <w:szCs w:val="20"/>
                <w:color w:val="auto"/>
              </w:rPr>
            </w:pPr>
            <w:r>
              <w:rPr>
                <w:rFonts w:ascii="Arial" w:cs="Arial" w:eastAsia="Arial" w:hAnsi="Arial"/>
                <w:sz w:val="13"/>
                <w:szCs w:val="13"/>
                <w:color w:val="auto"/>
              </w:rPr>
              <w:t>483,596</w:t>
            </w:r>
          </w:p>
        </w:tc>
        <w:tc>
          <w:tcPr>
            <w:tcW w:w="160" w:type="dxa"/>
            <w:vAlign w:val="bottom"/>
            <w:shd w:val="clear" w:color="auto" w:fill="CCEEFF"/>
          </w:tcPr>
          <w:p>
            <w:pPr>
              <w:jc w:val="right"/>
              <w:ind w:right="14"/>
              <w:spacing w:after="0" w:line="126" w:lineRule="exact"/>
              <w:rPr>
                <w:sz w:val="20"/>
                <w:szCs w:val="20"/>
                <w:color w:val="auto"/>
              </w:rPr>
            </w:pPr>
            <w:r>
              <w:rPr>
                <w:rFonts w:ascii="Arial" w:cs="Arial" w:eastAsia="Arial" w:hAnsi="Arial"/>
                <w:sz w:val="13"/>
                <w:szCs w:val="13"/>
                <w:color w:val="auto"/>
                <w:w w:val="82"/>
              </w:rPr>
              <w:t>$</w:t>
            </w:r>
          </w:p>
        </w:tc>
        <w:tc>
          <w:tcPr>
            <w:tcW w:w="780" w:type="dxa"/>
            <w:vAlign w:val="bottom"/>
            <w:gridSpan w:val="2"/>
            <w:shd w:val="clear" w:color="auto" w:fill="CCEEFF"/>
          </w:tcPr>
          <w:p>
            <w:pPr>
              <w:jc w:val="right"/>
              <w:ind w:right="120"/>
              <w:spacing w:after="0" w:line="126" w:lineRule="exact"/>
              <w:rPr>
                <w:sz w:val="20"/>
                <w:szCs w:val="20"/>
                <w:color w:val="auto"/>
              </w:rPr>
            </w:pPr>
            <w:r>
              <w:rPr>
                <w:rFonts w:ascii="Arial" w:cs="Arial" w:eastAsia="Arial" w:hAnsi="Arial"/>
                <w:sz w:val="13"/>
                <w:szCs w:val="13"/>
                <w:color w:val="auto"/>
              </w:rPr>
              <w:t>(247,280)</w:t>
            </w:r>
          </w:p>
        </w:tc>
        <w:tc>
          <w:tcPr>
            <w:tcW w:w="12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1100" w:type="dxa"/>
            <w:vAlign w:val="bottom"/>
            <w:gridSpan w:val="2"/>
            <w:shd w:val="clear" w:color="auto" w:fill="CCEEFF"/>
          </w:tcPr>
          <w:p>
            <w:pPr>
              <w:jc w:val="right"/>
              <w:ind w:right="120"/>
              <w:spacing w:after="0" w:line="126" w:lineRule="exact"/>
              <w:rPr>
                <w:sz w:val="20"/>
                <w:szCs w:val="20"/>
                <w:color w:val="auto"/>
              </w:rPr>
            </w:pPr>
            <w:r>
              <w:rPr>
                <w:rFonts w:ascii="Arial" w:cs="Arial" w:eastAsia="Arial" w:hAnsi="Arial"/>
                <w:sz w:val="13"/>
                <w:szCs w:val="13"/>
                <w:color w:val="auto"/>
              </w:rPr>
              <w:t>(16,651)</w:t>
            </w:r>
          </w:p>
        </w:tc>
        <w:tc>
          <w:tcPr>
            <w:tcW w:w="8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74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219,665</w:t>
            </w:r>
          </w:p>
        </w:tc>
        <w:tc>
          <w:tcPr>
            <w:tcW w:w="0" w:type="dxa"/>
            <w:vAlign w:val="bottom"/>
          </w:tcPr>
          <w:p>
            <w:pPr>
              <w:spacing w:after="0"/>
              <w:rPr>
                <w:sz w:val="1"/>
                <w:szCs w:val="1"/>
                <w:color w:val="auto"/>
              </w:rPr>
            </w:pPr>
          </w:p>
        </w:tc>
      </w:tr>
      <w:tr>
        <w:trPr>
          <w:trHeight w:val="26"/>
        </w:trPr>
        <w:tc>
          <w:tcPr>
            <w:tcW w:w="220" w:type="dxa"/>
            <w:vAlign w:val="bottom"/>
          </w:tcPr>
          <w:p>
            <w:pPr>
              <w:spacing w:after="0"/>
              <w:rPr>
                <w:sz w:val="2"/>
                <w:szCs w:val="2"/>
                <w:color w:val="auto"/>
              </w:rPr>
            </w:pPr>
          </w:p>
        </w:tc>
        <w:tc>
          <w:tcPr>
            <w:tcW w:w="4780" w:type="dxa"/>
            <w:vAlign w:val="bottom"/>
            <w:gridSpan w:val="2"/>
            <w:vMerge w:val="restart"/>
          </w:tcPr>
          <w:p>
            <w:pPr>
              <w:spacing w:after="0"/>
              <w:rPr>
                <w:sz w:val="20"/>
                <w:szCs w:val="20"/>
                <w:color w:val="auto"/>
              </w:rPr>
            </w:pPr>
            <w:r>
              <w:rPr>
                <w:rFonts w:ascii="Arial" w:cs="Arial" w:eastAsia="Arial" w:hAnsi="Arial"/>
                <w:sz w:val="13"/>
                <w:szCs w:val="13"/>
                <w:color w:val="auto"/>
              </w:rPr>
              <w:t>Total segments income</w:t>
            </w:r>
          </w:p>
        </w:tc>
        <w:tc>
          <w:tcPr>
            <w:tcW w:w="1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4780" w:type="dxa"/>
            <w:vAlign w:val="bottom"/>
            <w:gridSpan w:val="2"/>
            <w:vMerge w:val="continu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4"/>
        </w:trPr>
        <w:tc>
          <w:tcPr>
            <w:tcW w:w="220" w:type="dxa"/>
            <w:vAlign w:val="bottom"/>
          </w:tcPr>
          <w:p>
            <w:pPr>
              <w:spacing w:after="0"/>
              <w:rPr>
                <w:sz w:val="10"/>
                <w:szCs w:val="10"/>
                <w:color w:val="auto"/>
              </w:rPr>
            </w:pPr>
          </w:p>
        </w:tc>
        <w:tc>
          <w:tcPr>
            <w:tcW w:w="4780" w:type="dxa"/>
            <w:vAlign w:val="bottom"/>
            <w:gridSpan w:val="2"/>
            <w:vMerge w:val="continue"/>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94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Borders>
              <w:top w:val="single" w:sz="8" w:color="auto"/>
            </w:tcBorders>
          </w:tcPr>
          <w:p>
            <w:pPr>
              <w:jc w:val="right"/>
              <w:spacing w:after="0" w:line="124" w:lineRule="exact"/>
              <w:rPr>
                <w:sz w:val="20"/>
                <w:szCs w:val="20"/>
                <w:color w:val="auto"/>
              </w:rPr>
            </w:pPr>
            <w:r>
              <w:rPr>
                <w:rFonts w:ascii="Arial" w:cs="Arial" w:eastAsia="Arial" w:hAnsi="Arial"/>
                <w:sz w:val="13"/>
                <w:szCs w:val="13"/>
                <w:color w:val="auto"/>
                <w:w w:val="82"/>
              </w:rPr>
              <w:t>$</w:t>
            </w:r>
          </w:p>
        </w:tc>
        <w:tc>
          <w:tcPr>
            <w:tcW w:w="600" w:type="dxa"/>
            <w:vAlign w:val="bottom"/>
            <w:tcBorders>
              <w:top w:val="single" w:sz="8" w:color="auto"/>
            </w:tcBorders>
          </w:tcPr>
          <w:p>
            <w:pPr>
              <w:jc w:val="right"/>
              <w:spacing w:after="0" w:line="124" w:lineRule="exact"/>
              <w:rPr>
                <w:sz w:val="20"/>
                <w:szCs w:val="20"/>
                <w:color w:val="auto"/>
              </w:rPr>
            </w:pPr>
            <w:r>
              <w:rPr>
                <w:rFonts w:ascii="Arial" w:cs="Arial" w:eastAsia="Arial" w:hAnsi="Arial"/>
                <w:sz w:val="13"/>
                <w:szCs w:val="13"/>
                <w:color w:val="auto"/>
              </w:rPr>
              <w:t>219,665</w:t>
            </w: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4" w:lineRule="exact"/>
              <w:rPr>
                <w:sz w:val="20"/>
                <w:szCs w:val="20"/>
                <w:color w:val="auto"/>
              </w:rPr>
            </w:pPr>
            <w:r>
              <w:rPr>
                <w:rFonts w:ascii="Arial" w:cs="Arial" w:eastAsia="Arial" w:hAnsi="Arial"/>
                <w:sz w:val="13"/>
                <w:szCs w:val="13"/>
                <w:color w:val="auto"/>
              </w:rPr>
              <w:t>Corporate and other:</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Amortization of property, plant and mine development</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(135,897)</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General and administrative</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(25,221)</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Impairment loss on available-for-sale securities</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(685)</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Finance costs</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00"/>
              <w:spacing w:after="0" w:line="144" w:lineRule="exact"/>
              <w:rPr>
                <w:sz w:val="20"/>
                <w:szCs w:val="20"/>
                <w:color w:val="auto"/>
              </w:rPr>
            </w:pPr>
            <w:r>
              <w:rPr>
                <w:rFonts w:ascii="Arial" w:cs="Arial" w:eastAsia="Arial" w:hAnsi="Arial"/>
                <w:sz w:val="13"/>
                <w:szCs w:val="13"/>
                <w:color w:val="auto"/>
              </w:rPr>
              <w:t>(19,712)</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Loss on derivative financial instruments</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(8,576)</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Gain on sale of available-for-sale securities</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21,049</w:t>
            </w:r>
          </w:p>
        </w:tc>
        <w:tc>
          <w:tcPr>
            <w:tcW w:w="0" w:type="dxa"/>
            <w:vAlign w:val="bottom"/>
          </w:tcPr>
          <w:p>
            <w:pPr>
              <w:spacing w:after="0"/>
              <w:rPr>
                <w:sz w:val="1"/>
                <w:szCs w:val="1"/>
                <w:color w:val="auto"/>
              </w:rPr>
            </w:pPr>
          </w:p>
        </w:tc>
      </w:tr>
      <w:tr>
        <w:trPr>
          <w:trHeight w:val="144"/>
        </w:trPr>
        <w:tc>
          <w:tcPr>
            <w:tcW w:w="220" w:type="dxa"/>
            <w:vAlign w:val="bottom"/>
          </w:tcPr>
          <w:p>
            <w:pPr>
              <w:spacing w:after="0"/>
              <w:rPr>
                <w:sz w:val="12"/>
                <w:szCs w:val="12"/>
                <w:color w:val="auto"/>
              </w:rPr>
            </w:pPr>
          </w:p>
        </w:tc>
        <w:tc>
          <w:tcPr>
            <w:tcW w:w="4780" w:type="dxa"/>
            <w:vAlign w:val="bottom"/>
            <w:gridSpan w:val="2"/>
          </w:tcPr>
          <w:p>
            <w:pPr>
              <w:ind w:left="140"/>
              <w:spacing w:after="0" w:line="144" w:lineRule="exact"/>
              <w:rPr>
                <w:sz w:val="20"/>
                <w:szCs w:val="20"/>
                <w:color w:val="auto"/>
              </w:rPr>
            </w:pPr>
            <w:r>
              <w:rPr>
                <w:rFonts w:ascii="Arial" w:cs="Arial" w:eastAsia="Arial" w:hAnsi="Arial"/>
                <w:sz w:val="13"/>
                <w:szCs w:val="13"/>
                <w:color w:val="auto"/>
              </w:rPr>
              <w:t>Environmental remediation</w:t>
            </w: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00"/>
              <w:spacing w:after="0" w:line="144" w:lineRule="exact"/>
              <w:rPr>
                <w:sz w:val="20"/>
                <w:szCs w:val="20"/>
                <w:color w:val="auto"/>
              </w:rPr>
            </w:pPr>
            <w:r>
              <w:rPr>
                <w:rFonts w:ascii="Arial" w:cs="Arial" w:eastAsia="Arial" w:hAnsi="Arial"/>
                <w:sz w:val="13"/>
                <w:szCs w:val="13"/>
                <w:color w:val="auto"/>
              </w:rPr>
              <w:t>(429)</w:t>
            </w:r>
          </w:p>
        </w:tc>
        <w:tc>
          <w:tcPr>
            <w:tcW w:w="0" w:type="dxa"/>
            <w:vAlign w:val="bottom"/>
          </w:tcPr>
          <w:p>
            <w:pPr>
              <w:spacing w:after="0"/>
              <w:rPr>
                <w:sz w:val="1"/>
                <w:szCs w:val="1"/>
                <w:color w:val="auto"/>
              </w:rPr>
            </w:pPr>
          </w:p>
        </w:tc>
      </w:tr>
      <w:tr>
        <w:trPr>
          <w:trHeight w:val="144"/>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ind w:left="140"/>
              <w:spacing w:after="0" w:line="144" w:lineRule="exact"/>
              <w:rPr>
                <w:sz w:val="20"/>
                <w:szCs w:val="20"/>
                <w:color w:val="auto"/>
              </w:rPr>
            </w:pPr>
            <w:r>
              <w:rPr>
                <w:rFonts w:ascii="Arial" w:cs="Arial" w:eastAsia="Arial" w:hAnsi="Arial"/>
                <w:sz w:val="13"/>
                <w:szCs w:val="13"/>
                <w:color w:val="auto"/>
              </w:rPr>
              <w:t>Foreign currency translation gain</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11,690</w:t>
            </w:r>
          </w:p>
        </w:tc>
        <w:tc>
          <w:tcPr>
            <w:tcW w:w="0" w:type="dxa"/>
            <w:vAlign w:val="bottom"/>
          </w:tcPr>
          <w:p>
            <w:pPr>
              <w:spacing w:after="0"/>
              <w:rPr>
                <w:sz w:val="1"/>
                <w:szCs w:val="1"/>
                <w:color w:val="auto"/>
              </w:rPr>
            </w:pPr>
          </w:p>
        </w:tc>
      </w:tr>
      <w:tr>
        <w:trPr>
          <w:trHeight w:val="168"/>
        </w:trPr>
        <w:tc>
          <w:tcPr>
            <w:tcW w:w="220" w:type="dxa"/>
            <w:vAlign w:val="bottom"/>
          </w:tcPr>
          <w:p>
            <w:pPr>
              <w:spacing w:after="0"/>
              <w:rPr>
                <w:sz w:val="14"/>
                <w:szCs w:val="14"/>
                <w:color w:val="auto"/>
              </w:rPr>
            </w:pPr>
          </w:p>
        </w:tc>
        <w:tc>
          <w:tcPr>
            <w:tcW w:w="4780" w:type="dxa"/>
            <w:vAlign w:val="bottom"/>
            <w:gridSpan w:val="2"/>
          </w:tcPr>
          <w:p>
            <w:pPr>
              <w:ind w:left="140"/>
              <w:spacing w:after="0"/>
              <w:rPr>
                <w:sz w:val="20"/>
                <w:szCs w:val="20"/>
                <w:color w:val="auto"/>
              </w:rPr>
            </w:pPr>
            <w:r>
              <w:rPr>
                <w:rFonts w:ascii="Arial" w:cs="Arial" w:eastAsia="Arial" w:hAnsi="Arial"/>
                <w:sz w:val="13"/>
                <w:szCs w:val="13"/>
                <w:color w:val="auto"/>
              </w:rPr>
              <w:t>Other expenses</w:t>
            </w:r>
          </w:p>
        </w:tc>
        <w:tc>
          <w:tcPr>
            <w:tcW w:w="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3"/>
                <w:szCs w:val="13"/>
                <w:color w:val="auto"/>
              </w:rPr>
              <w:t>(5,171)</w:t>
            </w:r>
          </w:p>
        </w:tc>
        <w:tc>
          <w:tcPr>
            <w:tcW w:w="0" w:type="dxa"/>
            <w:vAlign w:val="bottom"/>
          </w:tcPr>
          <w:p>
            <w:pPr>
              <w:spacing w:after="0"/>
              <w:rPr>
                <w:sz w:val="1"/>
                <w:szCs w:val="1"/>
                <w:color w:val="auto"/>
              </w:rPr>
            </w:pPr>
          </w:p>
        </w:tc>
      </w:tr>
      <w:tr>
        <w:trPr>
          <w:trHeight w:val="140"/>
        </w:trPr>
        <w:tc>
          <w:tcPr>
            <w:tcW w:w="220" w:type="dxa"/>
            <w:vAlign w:val="bottom"/>
            <w:shd w:val="clear" w:color="auto" w:fill="CCEEFF"/>
          </w:tcPr>
          <w:p>
            <w:pPr>
              <w:spacing w:after="0"/>
              <w:rPr>
                <w:sz w:val="12"/>
                <w:szCs w:val="12"/>
                <w:color w:val="auto"/>
              </w:rPr>
            </w:pPr>
          </w:p>
        </w:tc>
        <w:tc>
          <w:tcPr>
            <w:tcW w:w="4780" w:type="dxa"/>
            <w:vAlign w:val="bottom"/>
            <w:gridSpan w:val="2"/>
            <w:shd w:val="clear" w:color="auto" w:fill="CCEEFF"/>
          </w:tcPr>
          <w:p>
            <w:pPr>
              <w:spacing w:after="0" w:line="140" w:lineRule="exact"/>
              <w:rPr>
                <w:sz w:val="20"/>
                <w:szCs w:val="20"/>
                <w:color w:val="auto"/>
              </w:rPr>
            </w:pPr>
            <w:r>
              <w:rPr>
                <w:rFonts w:ascii="Arial" w:cs="Arial" w:eastAsia="Arial" w:hAnsi="Arial"/>
                <w:sz w:val="13"/>
                <w:szCs w:val="13"/>
                <w:color w:val="auto"/>
              </w:rPr>
              <w:t>Income before income and mining taxes</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jc w:val="right"/>
              <w:spacing w:after="0" w:line="140" w:lineRule="exact"/>
              <w:rPr>
                <w:sz w:val="20"/>
                <w:szCs w:val="20"/>
                <w:color w:val="auto"/>
              </w:rPr>
            </w:pPr>
            <w:r>
              <w:rPr>
                <w:rFonts w:ascii="Arial" w:cs="Arial" w:eastAsia="Arial" w:hAnsi="Arial"/>
                <w:sz w:val="13"/>
                <w:szCs w:val="13"/>
                <w:color w:val="auto"/>
                <w:w w:val="82"/>
              </w:rPr>
              <w:t>$</w:t>
            </w:r>
          </w:p>
        </w:tc>
        <w:tc>
          <w:tcPr>
            <w:tcW w:w="600" w:type="dxa"/>
            <w:vAlign w:val="bottom"/>
            <w:tcBorders>
              <w:top w:val="single" w:sz="8" w:color="auto"/>
            </w:tcBorders>
            <w:shd w:val="clear" w:color="auto" w:fill="CCEEFF"/>
          </w:tcPr>
          <w:p>
            <w:pPr>
              <w:jc w:val="right"/>
              <w:spacing w:after="0" w:line="140" w:lineRule="exact"/>
              <w:rPr>
                <w:sz w:val="20"/>
                <w:szCs w:val="20"/>
                <w:color w:val="auto"/>
              </w:rPr>
            </w:pPr>
            <w:r>
              <w:rPr>
                <w:rFonts w:ascii="Arial" w:cs="Arial" w:eastAsia="Arial" w:hAnsi="Arial"/>
                <w:sz w:val="13"/>
                <w:szCs w:val="13"/>
                <w:color w:val="auto"/>
              </w:rPr>
              <w:t>56,713</w:t>
            </w: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220" w:type="dxa"/>
            <w:vAlign w:val="bottom"/>
          </w:tcPr>
          <w:p>
            <w:pPr>
              <w:spacing w:after="0"/>
              <w:rPr>
                <w:sz w:val="2"/>
                <w:szCs w:val="2"/>
                <w:color w:val="auto"/>
              </w:rPr>
            </w:pPr>
          </w:p>
        </w:tc>
        <w:tc>
          <w:tcPr>
            <w:tcW w:w="2300" w:type="dxa"/>
            <w:vAlign w:val="bottom"/>
          </w:tcPr>
          <w:p>
            <w:pPr>
              <w:spacing w:after="0"/>
              <w:rPr>
                <w:sz w:val="2"/>
                <w:szCs w:val="2"/>
                <w:color w:val="auto"/>
              </w:rPr>
            </w:pPr>
          </w:p>
        </w:tc>
        <w:tc>
          <w:tcPr>
            <w:tcW w:w="2480" w:type="dxa"/>
            <w:vAlign w:val="bottom"/>
          </w:tcPr>
          <w:p>
            <w:pPr>
              <w:spacing w:after="0"/>
              <w:rPr>
                <w:sz w:val="2"/>
                <w:szCs w:val="2"/>
                <w:color w:val="auto"/>
              </w:rPr>
            </w:pPr>
          </w:p>
        </w:tc>
        <w:tc>
          <w:tcPr>
            <w:tcW w:w="1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6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ind w:left="5620"/>
        <w:spacing w:after="0"/>
        <w:rPr>
          <w:sz w:val="20"/>
          <w:szCs w:val="20"/>
          <w:color w:val="auto"/>
        </w:rPr>
      </w:pPr>
      <w:r>
        <w:rPr>
          <w:rFonts w:ascii="Arial" w:cs="Arial" w:eastAsia="Arial" w:hAnsi="Arial"/>
          <w:sz w:val="17"/>
          <w:szCs w:val="17"/>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0260"/>
          </w:cols>
          <w:pgMar w:left="240" w:top="337" w:right="1399" w:bottom="1440" w:gutter="0" w:footer="0" w:header="0"/>
        </w:sectPr>
      </w:pPr>
    </w:p>
    <w:bookmarkStart w:id="43" w:name="page44"/>
    <w:bookmarkEnd w:id="43"/>
    <w:p>
      <w:pPr>
        <w:jc w:val="center"/>
        <w:ind w:right="-19"/>
        <w:spacing w:after="0"/>
        <w:rPr>
          <w:sz w:val="20"/>
          <w:szCs w:val="20"/>
          <w:color w:val="auto"/>
        </w:rPr>
      </w:pPr>
      <w:r>
        <w:rPr>
          <w:rFonts w:ascii="Arial" w:cs="Arial" w:eastAsia="Arial" w:hAnsi="Arial"/>
          <w:sz w:val="17"/>
          <w:szCs w:val="17"/>
          <w:b w:val="1"/>
          <w:bCs w:val="1"/>
          <w:color w:val="auto"/>
        </w:rPr>
        <w:t>AGNICO EAGLE MINES LIMITED</w:t>
      </w:r>
    </w:p>
    <w:p>
      <w:pPr>
        <w:spacing w:after="0" w:line="24" w:lineRule="exact"/>
        <w:rPr>
          <w:sz w:val="20"/>
          <w:szCs w:val="20"/>
          <w:color w:val="auto"/>
        </w:rPr>
      </w:pPr>
    </w:p>
    <w:p>
      <w:pPr>
        <w:ind w:left="2060"/>
        <w:spacing w:after="0"/>
        <w:rPr>
          <w:sz w:val="20"/>
          <w:szCs w:val="20"/>
          <w:color w:val="auto"/>
        </w:rPr>
      </w:pPr>
      <w:r>
        <w:rPr>
          <w:rFonts w:ascii="Arial" w:cs="Arial" w:eastAsia="Arial" w:hAnsi="Arial"/>
          <w:sz w:val="17"/>
          <w:szCs w:val="17"/>
          <w:b w:val="1"/>
          <w:bCs w:val="1"/>
          <w:color w:val="auto"/>
        </w:rPr>
        <w:t>NOTES TO CONDENSED INTERIM CONSOLIDATED FINANCIAL STATEMENTS (Continued)</w:t>
      </w:r>
    </w:p>
    <w:p>
      <w:pPr>
        <w:spacing w:after="0" w:line="14" w:lineRule="exact"/>
        <w:rPr>
          <w:sz w:val="20"/>
          <w:szCs w:val="20"/>
          <w:color w:val="auto"/>
        </w:rPr>
      </w:pPr>
    </w:p>
    <w:p>
      <w:pPr>
        <w:ind w:left="2080"/>
        <w:spacing w:after="0"/>
        <w:rPr>
          <w:sz w:val="20"/>
          <w:szCs w:val="20"/>
          <w:color w:val="auto"/>
        </w:rPr>
      </w:pPr>
      <w:r>
        <w:rPr>
          <w:rFonts w:ascii="Arial" w:cs="Arial" w:eastAsia="Arial" w:hAnsi="Arial"/>
          <w:sz w:val="17"/>
          <w:szCs w:val="17"/>
          <w:b w:val="1"/>
          <w:bCs w:val="1"/>
          <w:color w:val="auto"/>
        </w:rPr>
        <w:t>(thousands of United States dollars, except share and per share amounts, unless otherwise indicated)</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March 31, 2016</w:t>
      </w:r>
    </w:p>
    <w:p>
      <w:pPr>
        <w:spacing w:after="0" w:line="21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13.  SEGMENTED INFORMATION (Continued)</w:t>
      </w:r>
    </w:p>
    <w:p>
      <w:pPr>
        <w:spacing w:after="0" w:line="200" w:lineRule="exact"/>
        <w:rPr>
          <w:sz w:val="20"/>
          <w:szCs w:val="20"/>
          <w:color w:val="auto"/>
        </w:rPr>
      </w:pPr>
    </w:p>
    <w:p>
      <w:pPr>
        <w:spacing w:after="0" w:line="358" w:lineRule="exact"/>
        <w:rPr>
          <w:sz w:val="20"/>
          <w:szCs w:val="20"/>
          <w:color w:val="auto"/>
        </w:rPr>
      </w:pPr>
    </w:p>
    <w:tbl>
      <w:tblPr>
        <w:tblLayout w:type="fixed"/>
        <w:tblInd w:w="1140" w:type="dxa"/>
        <w:tblCellMar>
          <w:top w:w="0" w:type="dxa"/>
          <w:left w:w="0" w:type="dxa"/>
          <w:bottom w:w="0" w:type="dxa"/>
          <w:right w:w="0" w:type="dxa"/>
        </w:tblCellMar>
      </w:tblPr>
      <w:tr>
        <w:trPr>
          <w:trHeight w:val="157"/>
        </w:trPr>
        <w:tc>
          <w:tcPr>
            <w:tcW w:w="7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80" w:type="dxa"/>
            <w:vAlign w:val="bottom"/>
            <w:gridSpan w:val="5"/>
          </w:tcPr>
          <w:p>
            <w:pPr>
              <w:ind w:left="360"/>
              <w:spacing w:after="0"/>
              <w:rPr>
                <w:sz w:val="20"/>
                <w:szCs w:val="20"/>
                <w:color w:val="auto"/>
              </w:rPr>
            </w:pPr>
            <w:r>
              <w:rPr>
                <w:rFonts w:ascii="Arial" w:cs="Arial" w:eastAsia="Arial" w:hAnsi="Arial"/>
                <w:sz w:val="13"/>
                <w:szCs w:val="13"/>
                <w:b w:val="1"/>
                <w:bCs w:val="1"/>
                <w:color w:val="auto"/>
              </w:rPr>
              <w:t>Total Assets as at</w:t>
            </w:r>
          </w:p>
        </w:tc>
        <w:tc>
          <w:tcPr>
            <w:tcW w:w="0" w:type="dxa"/>
            <w:vAlign w:val="bottom"/>
          </w:tcPr>
          <w:p>
            <w:pPr>
              <w:spacing w:after="0"/>
              <w:rPr>
                <w:sz w:val="1"/>
                <w:szCs w:val="1"/>
                <w:color w:val="auto"/>
              </w:rPr>
            </w:pPr>
          </w:p>
        </w:tc>
      </w:tr>
      <w:tr>
        <w:trPr>
          <w:trHeight w:val="124"/>
        </w:trPr>
        <w:tc>
          <w:tcPr>
            <w:tcW w:w="7160" w:type="dxa"/>
            <w:vAlign w:val="bottom"/>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820" w:type="dxa"/>
            <w:vAlign w:val="bottom"/>
            <w:tcBorders>
              <w:top w:val="single" w:sz="8" w:color="auto"/>
            </w:tcBorders>
            <w:gridSpan w:val="2"/>
          </w:tcPr>
          <w:p>
            <w:pPr>
              <w:jc w:val="right"/>
              <w:ind w:right="240"/>
              <w:spacing w:after="0" w:line="124" w:lineRule="exact"/>
              <w:rPr>
                <w:sz w:val="20"/>
                <w:szCs w:val="20"/>
                <w:color w:val="auto"/>
              </w:rPr>
            </w:pPr>
            <w:r>
              <w:rPr>
                <w:rFonts w:ascii="Arial" w:cs="Arial" w:eastAsia="Arial" w:hAnsi="Arial"/>
                <w:sz w:val="13"/>
                <w:szCs w:val="13"/>
                <w:b w:val="1"/>
                <w:bCs w:val="1"/>
                <w:color w:val="auto"/>
                <w:w w:val="93"/>
              </w:rPr>
              <w:t>March 31,</w:t>
            </w:r>
          </w:p>
        </w:tc>
        <w:tc>
          <w:tcPr>
            <w:tcW w:w="80" w:type="dxa"/>
            <w:vAlign w:val="bottom"/>
            <w:tcBorders>
              <w:top w:val="single" w:sz="8" w:color="auto"/>
            </w:tcBorders>
          </w:tcPr>
          <w:p>
            <w:pPr>
              <w:spacing w:after="0"/>
              <w:rPr>
                <w:sz w:val="10"/>
                <w:szCs w:val="10"/>
                <w:color w:val="auto"/>
              </w:rPr>
            </w:pPr>
          </w:p>
        </w:tc>
        <w:tc>
          <w:tcPr>
            <w:tcW w:w="840" w:type="dxa"/>
            <w:vAlign w:val="bottom"/>
            <w:tcBorders>
              <w:top w:val="single" w:sz="8" w:color="auto"/>
            </w:tcBorders>
          </w:tcPr>
          <w:p>
            <w:pPr>
              <w:jc w:val="right"/>
              <w:ind w:right="14"/>
              <w:spacing w:after="0" w:line="124" w:lineRule="exact"/>
              <w:rPr>
                <w:sz w:val="20"/>
                <w:szCs w:val="20"/>
                <w:color w:val="auto"/>
              </w:rPr>
            </w:pPr>
            <w:r>
              <w:rPr>
                <w:rFonts w:ascii="Arial" w:cs="Arial" w:eastAsia="Arial" w:hAnsi="Arial"/>
                <w:sz w:val="13"/>
                <w:szCs w:val="13"/>
                <w:b w:val="1"/>
                <w:bCs w:val="1"/>
                <w:color w:val="auto"/>
                <w:w w:val="87"/>
              </w:rPr>
              <w:t>December 31,</w:t>
            </w: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7"/>
        </w:trPr>
        <w:tc>
          <w:tcPr>
            <w:tcW w:w="7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660" w:type="dxa"/>
            <w:vAlign w:val="bottom"/>
            <w:tcBorders>
              <w:bottom w:val="single" w:sz="8" w:color="auto"/>
            </w:tcBorders>
          </w:tcPr>
          <w:p>
            <w:pPr>
              <w:jc w:val="right"/>
              <w:ind w:right="174"/>
              <w:spacing w:after="0"/>
              <w:rPr>
                <w:sz w:val="20"/>
                <w:szCs w:val="20"/>
                <w:color w:val="auto"/>
              </w:rPr>
            </w:pPr>
            <w:r>
              <w:rPr>
                <w:rFonts w:ascii="Arial" w:cs="Arial" w:eastAsia="Arial" w:hAnsi="Arial"/>
                <w:sz w:val="13"/>
                <w:szCs w:val="13"/>
                <w:b w:val="1"/>
                <w:bCs w:val="1"/>
                <w:color w:val="auto"/>
              </w:rPr>
              <w:t>2016</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right"/>
              <w:ind w:right="254"/>
              <w:spacing w:after="0"/>
              <w:rPr>
                <w:sz w:val="20"/>
                <w:szCs w:val="20"/>
                <w:color w:val="auto"/>
              </w:rPr>
            </w:pPr>
            <w:r>
              <w:rPr>
                <w:rFonts w:ascii="Arial" w:cs="Arial" w:eastAsia="Arial" w:hAnsi="Arial"/>
                <w:sz w:val="13"/>
                <w:szCs w:val="13"/>
                <w:b w:val="1"/>
                <w:bCs w:val="1"/>
                <w:color w:val="auto"/>
              </w:rPr>
              <w:t>2015</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7"/>
        </w:trPr>
        <w:tc>
          <w:tcPr>
            <w:tcW w:w="7160" w:type="dxa"/>
            <w:vAlign w:val="bottom"/>
            <w:shd w:val="clear" w:color="auto" w:fill="CCEEFF"/>
          </w:tcPr>
          <w:p>
            <w:pPr>
              <w:ind w:left="220"/>
              <w:spacing w:after="0" w:line="138" w:lineRule="exact"/>
              <w:rPr>
                <w:sz w:val="20"/>
                <w:szCs w:val="20"/>
                <w:color w:val="auto"/>
              </w:rPr>
            </w:pPr>
            <w:r>
              <w:rPr>
                <w:rFonts w:ascii="Arial" w:cs="Arial" w:eastAsia="Arial" w:hAnsi="Arial"/>
                <w:sz w:val="13"/>
                <w:szCs w:val="13"/>
                <w:b w:val="1"/>
                <w:bCs w:val="1"/>
                <w:color w:val="auto"/>
              </w:rPr>
              <w:t>Northern Business:</w:t>
            </w:r>
          </w:p>
        </w:tc>
        <w:tc>
          <w:tcPr>
            <w:tcW w:w="8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7160" w:type="dxa"/>
            <w:vAlign w:val="bottom"/>
          </w:tcPr>
          <w:p>
            <w:pPr>
              <w:ind w:left="220"/>
              <w:spacing w:after="0" w:line="144" w:lineRule="exact"/>
              <w:rPr>
                <w:sz w:val="20"/>
                <w:szCs w:val="20"/>
                <w:color w:val="auto"/>
              </w:rPr>
            </w:pPr>
            <w:r>
              <w:rPr>
                <w:rFonts w:ascii="Arial" w:cs="Arial" w:eastAsia="Arial" w:hAnsi="Arial"/>
                <w:sz w:val="13"/>
                <w:szCs w:val="13"/>
                <w:color w:val="auto"/>
              </w:rPr>
              <w:t>LaRonde mine</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82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830,364</w:t>
            </w:r>
          </w:p>
        </w:tc>
        <w:tc>
          <w:tcPr>
            <w:tcW w:w="80" w:type="dxa"/>
            <w:vAlign w:val="bottom"/>
          </w:tcPr>
          <w:p>
            <w:pPr>
              <w:jc w:val="right"/>
              <w:spacing w:after="0" w:line="144" w:lineRule="exact"/>
              <w:rPr>
                <w:sz w:val="20"/>
                <w:szCs w:val="20"/>
                <w:color w:val="auto"/>
              </w:rPr>
            </w:pPr>
            <w:r>
              <w:rPr>
                <w:rFonts w:ascii="Arial" w:cs="Arial" w:eastAsia="Arial" w:hAnsi="Arial"/>
                <w:sz w:val="13"/>
                <w:szCs w:val="13"/>
                <w:color w:val="auto"/>
                <w:w w:val="82"/>
              </w:rPr>
              <w:t>$</w:t>
            </w: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834,881</w:t>
            </w:r>
          </w:p>
        </w:tc>
        <w:tc>
          <w:tcPr>
            <w:tcW w:w="0" w:type="dxa"/>
            <w:vAlign w:val="bottom"/>
          </w:tcPr>
          <w:p>
            <w:pPr>
              <w:spacing w:after="0"/>
              <w:rPr>
                <w:sz w:val="1"/>
                <w:szCs w:val="1"/>
                <w:color w:val="auto"/>
              </w:rPr>
            </w:pPr>
          </w:p>
        </w:tc>
      </w:tr>
      <w:tr>
        <w:trPr>
          <w:trHeight w:val="144"/>
        </w:trPr>
        <w:tc>
          <w:tcPr>
            <w:tcW w:w="716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Lapa mine</w:t>
            </w: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42,424</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50,951</w:t>
            </w:r>
          </w:p>
        </w:tc>
        <w:tc>
          <w:tcPr>
            <w:tcW w:w="0" w:type="dxa"/>
            <w:vAlign w:val="bottom"/>
          </w:tcPr>
          <w:p>
            <w:pPr>
              <w:spacing w:after="0"/>
              <w:rPr>
                <w:sz w:val="1"/>
                <w:szCs w:val="1"/>
                <w:color w:val="auto"/>
              </w:rPr>
            </w:pPr>
          </w:p>
        </w:tc>
      </w:tr>
      <w:tr>
        <w:trPr>
          <w:trHeight w:val="144"/>
        </w:trPr>
        <w:tc>
          <w:tcPr>
            <w:tcW w:w="7160" w:type="dxa"/>
            <w:vAlign w:val="bottom"/>
          </w:tcPr>
          <w:p>
            <w:pPr>
              <w:ind w:left="220"/>
              <w:spacing w:after="0" w:line="144" w:lineRule="exact"/>
              <w:rPr>
                <w:sz w:val="20"/>
                <w:szCs w:val="20"/>
                <w:color w:val="auto"/>
              </w:rPr>
            </w:pPr>
            <w:r>
              <w:rPr>
                <w:rFonts w:ascii="Arial" w:cs="Arial" w:eastAsia="Arial" w:hAnsi="Arial"/>
                <w:sz w:val="13"/>
                <w:szCs w:val="13"/>
                <w:color w:val="auto"/>
              </w:rPr>
              <w:t>Goldex mine</w:t>
            </w:r>
          </w:p>
        </w:tc>
        <w:tc>
          <w:tcPr>
            <w:tcW w:w="80" w:type="dxa"/>
            <w:vAlign w:val="bottom"/>
          </w:tcPr>
          <w:p>
            <w:pPr>
              <w:spacing w:after="0"/>
              <w:rPr>
                <w:sz w:val="12"/>
                <w:szCs w:val="12"/>
                <w:color w:val="auto"/>
              </w:rPr>
            </w:pPr>
          </w:p>
        </w:tc>
        <w:tc>
          <w:tcPr>
            <w:tcW w:w="82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215,628</w:t>
            </w:r>
          </w:p>
        </w:tc>
        <w:tc>
          <w:tcPr>
            <w:tcW w:w="80" w:type="dxa"/>
            <w:vAlign w:val="bottom"/>
          </w:tcPr>
          <w:p>
            <w:pPr>
              <w:spacing w:after="0"/>
              <w:rPr>
                <w:sz w:val="12"/>
                <w:szCs w:val="12"/>
                <w:color w:val="auto"/>
              </w:rPr>
            </w:pP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201,257</w:t>
            </w:r>
          </w:p>
        </w:tc>
        <w:tc>
          <w:tcPr>
            <w:tcW w:w="0" w:type="dxa"/>
            <w:vAlign w:val="bottom"/>
          </w:tcPr>
          <w:p>
            <w:pPr>
              <w:spacing w:after="0"/>
              <w:rPr>
                <w:sz w:val="1"/>
                <w:szCs w:val="1"/>
                <w:color w:val="auto"/>
              </w:rPr>
            </w:pPr>
          </w:p>
        </w:tc>
      </w:tr>
      <w:tr>
        <w:trPr>
          <w:trHeight w:val="144"/>
        </w:trPr>
        <w:tc>
          <w:tcPr>
            <w:tcW w:w="716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Meadowbank mine</w:t>
            </w: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560,248</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595,682</w:t>
            </w:r>
          </w:p>
        </w:tc>
        <w:tc>
          <w:tcPr>
            <w:tcW w:w="0" w:type="dxa"/>
            <w:vAlign w:val="bottom"/>
          </w:tcPr>
          <w:p>
            <w:pPr>
              <w:spacing w:after="0"/>
              <w:rPr>
                <w:sz w:val="1"/>
                <w:szCs w:val="1"/>
                <w:color w:val="auto"/>
              </w:rPr>
            </w:pPr>
          </w:p>
        </w:tc>
      </w:tr>
      <w:tr>
        <w:trPr>
          <w:trHeight w:val="144"/>
        </w:trPr>
        <w:tc>
          <w:tcPr>
            <w:tcW w:w="7160" w:type="dxa"/>
            <w:vAlign w:val="bottom"/>
          </w:tcPr>
          <w:p>
            <w:pPr>
              <w:ind w:left="220"/>
              <w:spacing w:after="0" w:line="144" w:lineRule="exact"/>
              <w:rPr>
                <w:sz w:val="20"/>
                <w:szCs w:val="20"/>
                <w:color w:val="auto"/>
              </w:rPr>
            </w:pPr>
            <w:r>
              <w:rPr>
                <w:rFonts w:ascii="Arial" w:cs="Arial" w:eastAsia="Arial" w:hAnsi="Arial"/>
                <w:sz w:val="13"/>
                <w:szCs w:val="13"/>
                <w:color w:val="auto"/>
              </w:rPr>
              <w:t>Canadian Malartic joint operation</w:t>
            </w:r>
          </w:p>
        </w:tc>
        <w:tc>
          <w:tcPr>
            <w:tcW w:w="80" w:type="dxa"/>
            <w:vAlign w:val="bottom"/>
          </w:tcPr>
          <w:p>
            <w:pPr>
              <w:spacing w:after="0"/>
              <w:rPr>
                <w:sz w:val="12"/>
                <w:szCs w:val="12"/>
                <w:color w:val="auto"/>
              </w:rPr>
            </w:pPr>
          </w:p>
        </w:tc>
        <w:tc>
          <w:tcPr>
            <w:tcW w:w="82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2,000,802</w:t>
            </w:r>
          </w:p>
        </w:tc>
        <w:tc>
          <w:tcPr>
            <w:tcW w:w="80" w:type="dxa"/>
            <w:vAlign w:val="bottom"/>
          </w:tcPr>
          <w:p>
            <w:pPr>
              <w:spacing w:after="0"/>
              <w:rPr>
                <w:sz w:val="12"/>
                <w:szCs w:val="12"/>
                <w:color w:val="auto"/>
              </w:rPr>
            </w:pP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2,012,648</w:t>
            </w:r>
          </w:p>
        </w:tc>
        <w:tc>
          <w:tcPr>
            <w:tcW w:w="0" w:type="dxa"/>
            <w:vAlign w:val="bottom"/>
          </w:tcPr>
          <w:p>
            <w:pPr>
              <w:spacing w:after="0"/>
              <w:rPr>
                <w:sz w:val="1"/>
                <w:szCs w:val="1"/>
                <w:color w:val="auto"/>
              </w:rPr>
            </w:pPr>
          </w:p>
        </w:tc>
      </w:tr>
      <w:tr>
        <w:trPr>
          <w:trHeight w:val="144"/>
        </w:trPr>
        <w:tc>
          <w:tcPr>
            <w:tcW w:w="716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Meliadine project</w:t>
            </w: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576,340</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561,271</w:t>
            </w:r>
          </w:p>
        </w:tc>
        <w:tc>
          <w:tcPr>
            <w:tcW w:w="0" w:type="dxa"/>
            <w:vAlign w:val="bottom"/>
          </w:tcPr>
          <w:p>
            <w:pPr>
              <w:spacing w:after="0"/>
              <w:rPr>
                <w:sz w:val="1"/>
                <w:szCs w:val="1"/>
                <w:color w:val="auto"/>
              </w:rPr>
            </w:pPr>
          </w:p>
        </w:tc>
      </w:tr>
      <w:tr>
        <w:trPr>
          <w:trHeight w:val="168"/>
        </w:trPr>
        <w:tc>
          <w:tcPr>
            <w:tcW w:w="7160" w:type="dxa"/>
            <w:vAlign w:val="bottom"/>
          </w:tcPr>
          <w:p>
            <w:pPr>
              <w:ind w:left="220"/>
              <w:spacing w:after="0"/>
              <w:rPr>
                <w:sz w:val="20"/>
                <w:szCs w:val="20"/>
                <w:color w:val="auto"/>
              </w:rPr>
            </w:pPr>
            <w:r>
              <w:rPr>
                <w:rFonts w:ascii="Arial" w:cs="Arial" w:eastAsia="Arial" w:hAnsi="Arial"/>
                <w:sz w:val="13"/>
                <w:szCs w:val="13"/>
                <w:color w:val="auto"/>
              </w:rPr>
              <w:t>Kittila mine</w:t>
            </w:r>
          </w:p>
        </w:tc>
        <w:tc>
          <w:tcPr>
            <w:tcW w:w="80" w:type="dxa"/>
            <w:vAlign w:val="bottom"/>
          </w:tcPr>
          <w:p>
            <w:pPr>
              <w:spacing w:after="0"/>
              <w:rPr>
                <w:sz w:val="14"/>
                <w:szCs w:val="14"/>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3"/>
                <w:szCs w:val="13"/>
                <w:color w:val="auto"/>
              </w:rPr>
              <w:t>947,804</w:t>
            </w:r>
          </w:p>
        </w:tc>
        <w:tc>
          <w:tcPr>
            <w:tcW w:w="80" w:type="dxa"/>
            <w:vAlign w:val="bottom"/>
          </w:tcPr>
          <w:p>
            <w:pPr>
              <w:spacing w:after="0"/>
              <w:rPr>
                <w:sz w:val="14"/>
                <w:szCs w:val="14"/>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3"/>
                <w:szCs w:val="13"/>
                <w:color w:val="auto"/>
              </w:rPr>
              <w:t>933,362</w:t>
            </w:r>
          </w:p>
        </w:tc>
        <w:tc>
          <w:tcPr>
            <w:tcW w:w="0" w:type="dxa"/>
            <w:vAlign w:val="bottom"/>
          </w:tcPr>
          <w:p>
            <w:pPr>
              <w:spacing w:after="0"/>
              <w:rPr>
                <w:sz w:val="1"/>
                <w:szCs w:val="1"/>
                <w:color w:val="auto"/>
              </w:rPr>
            </w:pPr>
          </w:p>
        </w:tc>
      </w:tr>
      <w:tr>
        <w:trPr>
          <w:trHeight w:val="20"/>
        </w:trPr>
        <w:tc>
          <w:tcPr>
            <w:tcW w:w="7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7160" w:type="dxa"/>
            <w:vAlign w:val="bottom"/>
            <w:shd w:val="clear" w:color="auto" w:fill="CCEEFF"/>
          </w:tcPr>
          <w:p>
            <w:pPr>
              <w:ind w:left="220"/>
              <w:spacing w:after="0" w:line="140" w:lineRule="exact"/>
              <w:rPr>
                <w:sz w:val="20"/>
                <w:szCs w:val="20"/>
                <w:color w:val="auto"/>
              </w:rPr>
            </w:pPr>
            <w:r>
              <w:rPr>
                <w:rFonts w:ascii="Arial" w:cs="Arial" w:eastAsia="Arial" w:hAnsi="Arial"/>
                <w:sz w:val="13"/>
                <w:szCs w:val="13"/>
                <w:b w:val="1"/>
                <w:bCs w:val="1"/>
                <w:color w:val="auto"/>
              </w:rPr>
              <w:t>Total Northern Business</w:t>
            </w: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0" w:lineRule="exact"/>
              <w:rPr>
                <w:sz w:val="20"/>
                <w:szCs w:val="20"/>
                <w:color w:val="auto"/>
              </w:rPr>
            </w:pPr>
            <w:r>
              <w:rPr>
                <w:rFonts w:ascii="Arial" w:cs="Arial" w:eastAsia="Arial" w:hAnsi="Arial"/>
                <w:sz w:val="13"/>
                <w:szCs w:val="13"/>
                <w:color w:val="auto"/>
              </w:rPr>
              <w:t>5,173,610</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0" w:lineRule="exact"/>
              <w:rPr>
                <w:sz w:val="20"/>
                <w:szCs w:val="20"/>
                <w:color w:val="auto"/>
              </w:rPr>
            </w:pPr>
            <w:r>
              <w:rPr>
                <w:rFonts w:ascii="Arial" w:cs="Arial" w:eastAsia="Arial" w:hAnsi="Arial"/>
                <w:sz w:val="13"/>
                <w:szCs w:val="13"/>
                <w:color w:val="auto"/>
              </w:rPr>
              <w:t>5,190,052</w:t>
            </w:r>
          </w:p>
        </w:tc>
        <w:tc>
          <w:tcPr>
            <w:tcW w:w="0" w:type="dxa"/>
            <w:vAlign w:val="bottom"/>
          </w:tcPr>
          <w:p>
            <w:pPr>
              <w:spacing w:after="0"/>
              <w:rPr>
                <w:sz w:val="1"/>
                <w:szCs w:val="1"/>
                <w:color w:val="auto"/>
              </w:rPr>
            </w:pPr>
          </w:p>
        </w:tc>
      </w:tr>
      <w:tr>
        <w:trPr>
          <w:trHeight w:val="26"/>
        </w:trPr>
        <w:tc>
          <w:tcPr>
            <w:tcW w:w="7160" w:type="dxa"/>
            <w:vAlign w:val="bottom"/>
            <w:vMerge w:val="restart"/>
          </w:tcPr>
          <w:p>
            <w:pPr>
              <w:ind w:left="220"/>
              <w:spacing w:after="0"/>
              <w:rPr>
                <w:sz w:val="20"/>
                <w:szCs w:val="20"/>
                <w:color w:val="auto"/>
              </w:rPr>
            </w:pPr>
            <w:r>
              <w:rPr>
                <w:rFonts w:ascii="Arial" w:cs="Arial" w:eastAsia="Arial" w:hAnsi="Arial"/>
                <w:sz w:val="13"/>
                <w:szCs w:val="13"/>
                <w:b w:val="1"/>
                <w:bCs w:val="1"/>
                <w:color w:val="auto"/>
              </w:rPr>
              <w:t>Southern Business:</w:t>
            </w:r>
          </w:p>
        </w:tc>
        <w:tc>
          <w:tcPr>
            <w:tcW w:w="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160" w:type="dxa"/>
            <w:vAlign w:val="bottom"/>
            <w:vMerge w:val="continue"/>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4"/>
        </w:trPr>
        <w:tc>
          <w:tcPr>
            <w:tcW w:w="7160" w:type="dxa"/>
            <w:vAlign w:val="bottom"/>
            <w:vMerge w:val="continue"/>
          </w:tcPr>
          <w:p>
            <w:pPr>
              <w:spacing w:after="0"/>
              <w:rPr>
                <w:sz w:val="24"/>
                <w:szCs w:val="24"/>
                <w:color w:val="auto"/>
              </w:rPr>
            </w:pPr>
          </w:p>
        </w:tc>
        <w:tc>
          <w:tcPr>
            <w:tcW w:w="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716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Pinos Altos mine</w:t>
            </w: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612,006</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585,735</w:t>
            </w:r>
          </w:p>
        </w:tc>
        <w:tc>
          <w:tcPr>
            <w:tcW w:w="0" w:type="dxa"/>
            <w:vAlign w:val="bottom"/>
          </w:tcPr>
          <w:p>
            <w:pPr>
              <w:spacing w:after="0"/>
              <w:rPr>
                <w:sz w:val="1"/>
                <w:szCs w:val="1"/>
                <w:color w:val="auto"/>
              </w:rPr>
            </w:pPr>
          </w:p>
        </w:tc>
      </w:tr>
      <w:tr>
        <w:trPr>
          <w:trHeight w:val="144"/>
        </w:trPr>
        <w:tc>
          <w:tcPr>
            <w:tcW w:w="7160" w:type="dxa"/>
            <w:vAlign w:val="bottom"/>
          </w:tcPr>
          <w:p>
            <w:pPr>
              <w:ind w:left="220"/>
              <w:spacing w:after="0" w:line="144" w:lineRule="exact"/>
              <w:rPr>
                <w:sz w:val="20"/>
                <w:szCs w:val="20"/>
                <w:color w:val="auto"/>
              </w:rPr>
            </w:pPr>
            <w:r>
              <w:rPr>
                <w:rFonts w:ascii="Arial" w:cs="Arial" w:eastAsia="Arial" w:hAnsi="Arial"/>
                <w:sz w:val="13"/>
                <w:szCs w:val="13"/>
                <w:color w:val="auto"/>
              </w:rPr>
              <w:t>Creston Mascota deposit at Pinos Altos</w:t>
            </w:r>
          </w:p>
        </w:tc>
        <w:tc>
          <w:tcPr>
            <w:tcW w:w="80" w:type="dxa"/>
            <w:vAlign w:val="bottom"/>
          </w:tcPr>
          <w:p>
            <w:pPr>
              <w:spacing w:after="0"/>
              <w:rPr>
                <w:sz w:val="12"/>
                <w:szCs w:val="12"/>
                <w:color w:val="auto"/>
              </w:rPr>
            </w:pPr>
          </w:p>
        </w:tc>
        <w:tc>
          <w:tcPr>
            <w:tcW w:w="820" w:type="dxa"/>
            <w:vAlign w:val="bottom"/>
            <w:gridSpan w:val="2"/>
          </w:tcPr>
          <w:p>
            <w:pPr>
              <w:jc w:val="right"/>
              <w:ind w:right="160"/>
              <w:spacing w:after="0" w:line="144" w:lineRule="exact"/>
              <w:rPr>
                <w:sz w:val="20"/>
                <w:szCs w:val="20"/>
                <w:color w:val="auto"/>
              </w:rPr>
            </w:pPr>
            <w:r>
              <w:rPr>
                <w:rFonts w:ascii="Arial" w:cs="Arial" w:eastAsia="Arial" w:hAnsi="Arial"/>
                <w:sz w:val="13"/>
                <w:szCs w:val="13"/>
                <w:color w:val="auto"/>
              </w:rPr>
              <w:t>69,565</w:t>
            </w:r>
          </w:p>
        </w:tc>
        <w:tc>
          <w:tcPr>
            <w:tcW w:w="80" w:type="dxa"/>
            <w:vAlign w:val="bottom"/>
          </w:tcPr>
          <w:p>
            <w:pPr>
              <w:spacing w:after="0"/>
              <w:rPr>
                <w:sz w:val="12"/>
                <w:szCs w:val="12"/>
                <w:color w:val="auto"/>
              </w:rPr>
            </w:pPr>
          </w:p>
        </w:tc>
        <w:tc>
          <w:tcPr>
            <w:tcW w:w="980" w:type="dxa"/>
            <w:vAlign w:val="bottom"/>
            <w:gridSpan w:val="2"/>
          </w:tcPr>
          <w:p>
            <w:pPr>
              <w:jc w:val="right"/>
              <w:ind w:right="140"/>
              <w:spacing w:after="0" w:line="144" w:lineRule="exact"/>
              <w:rPr>
                <w:sz w:val="20"/>
                <w:szCs w:val="20"/>
                <w:color w:val="auto"/>
              </w:rPr>
            </w:pPr>
            <w:r>
              <w:rPr>
                <w:rFonts w:ascii="Arial" w:cs="Arial" w:eastAsia="Arial" w:hAnsi="Arial"/>
                <w:sz w:val="13"/>
                <w:szCs w:val="13"/>
                <w:color w:val="auto"/>
              </w:rPr>
              <w:t>70,670</w:t>
            </w:r>
          </w:p>
        </w:tc>
        <w:tc>
          <w:tcPr>
            <w:tcW w:w="0" w:type="dxa"/>
            <w:vAlign w:val="bottom"/>
          </w:tcPr>
          <w:p>
            <w:pPr>
              <w:spacing w:after="0"/>
              <w:rPr>
                <w:sz w:val="1"/>
                <w:szCs w:val="1"/>
                <w:color w:val="auto"/>
              </w:rPr>
            </w:pPr>
          </w:p>
        </w:tc>
      </w:tr>
      <w:tr>
        <w:trPr>
          <w:trHeight w:val="144"/>
        </w:trPr>
        <w:tc>
          <w:tcPr>
            <w:tcW w:w="7160" w:type="dxa"/>
            <w:vAlign w:val="bottom"/>
            <w:shd w:val="clear" w:color="auto" w:fill="CCEEFF"/>
          </w:tcPr>
          <w:p>
            <w:pPr>
              <w:ind w:left="220"/>
              <w:spacing w:after="0" w:line="144" w:lineRule="exact"/>
              <w:rPr>
                <w:sz w:val="20"/>
                <w:szCs w:val="20"/>
                <w:color w:val="auto"/>
              </w:rPr>
            </w:pPr>
            <w:r>
              <w:rPr>
                <w:rFonts w:ascii="Arial" w:cs="Arial" w:eastAsia="Arial" w:hAnsi="Arial"/>
                <w:sz w:val="13"/>
                <w:szCs w:val="13"/>
                <w:color w:val="auto"/>
              </w:rPr>
              <w:t>La India mine</w:t>
            </w:r>
          </w:p>
        </w:tc>
        <w:tc>
          <w:tcPr>
            <w:tcW w:w="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3"/>
                <w:szCs w:val="13"/>
                <w:color w:val="auto"/>
              </w:rPr>
              <w:t>501,396</w:t>
            </w:r>
          </w:p>
        </w:tc>
        <w:tc>
          <w:tcPr>
            <w:tcW w:w="80" w:type="dxa"/>
            <w:vAlign w:val="bottom"/>
            <w:shd w:val="clear" w:color="auto" w:fill="CCEEFF"/>
          </w:tcPr>
          <w:p>
            <w:pPr>
              <w:spacing w:after="0"/>
              <w:rPr>
                <w:sz w:val="12"/>
                <w:szCs w:val="12"/>
                <w:color w:val="auto"/>
              </w:rPr>
            </w:pPr>
          </w:p>
        </w:tc>
        <w:tc>
          <w:tcPr>
            <w:tcW w:w="980" w:type="dxa"/>
            <w:vAlign w:val="bottom"/>
            <w:gridSpan w:val="2"/>
            <w:shd w:val="clear" w:color="auto" w:fill="CCEEFF"/>
          </w:tcPr>
          <w:p>
            <w:pPr>
              <w:jc w:val="right"/>
              <w:ind w:right="140"/>
              <w:spacing w:after="0" w:line="144" w:lineRule="exact"/>
              <w:rPr>
                <w:sz w:val="20"/>
                <w:szCs w:val="20"/>
                <w:color w:val="auto"/>
              </w:rPr>
            </w:pPr>
            <w:r>
              <w:rPr>
                <w:rFonts w:ascii="Arial" w:cs="Arial" w:eastAsia="Arial" w:hAnsi="Arial"/>
                <w:sz w:val="13"/>
                <w:szCs w:val="13"/>
                <w:color w:val="auto"/>
              </w:rPr>
              <w:t>501,179</w:t>
            </w:r>
          </w:p>
        </w:tc>
        <w:tc>
          <w:tcPr>
            <w:tcW w:w="0" w:type="dxa"/>
            <w:vAlign w:val="bottom"/>
          </w:tcPr>
          <w:p>
            <w:pPr>
              <w:spacing w:after="0"/>
              <w:rPr>
                <w:sz w:val="1"/>
                <w:szCs w:val="1"/>
                <w:color w:val="auto"/>
              </w:rPr>
            </w:pPr>
          </w:p>
        </w:tc>
      </w:tr>
      <w:tr>
        <w:trPr>
          <w:trHeight w:val="26"/>
        </w:trPr>
        <w:tc>
          <w:tcPr>
            <w:tcW w:w="7160" w:type="dxa"/>
            <w:vAlign w:val="bottom"/>
            <w:vMerge w:val="restart"/>
          </w:tcPr>
          <w:p>
            <w:pPr>
              <w:ind w:left="220"/>
              <w:spacing w:after="0"/>
              <w:rPr>
                <w:sz w:val="20"/>
                <w:szCs w:val="20"/>
                <w:color w:val="auto"/>
              </w:rPr>
            </w:pPr>
            <w:r>
              <w:rPr>
                <w:rFonts w:ascii="Arial" w:cs="Arial" w:eastAsia="Arial" w:hAnsi="Arial"/>
                <w:sz w:val="13"/>
                <w:szCs w:val="13"/>
                <w:b w:val="1"/>
                <w:bCs w:val="1"/>
                <w:color w:val="auto"/>
              </w:rPr>
              <w:t>Total Southern Business</w:t>
            </w:r>
          </w:p>
        </w:tc>
        <w:tc>
          <w:tcPr>
            <w:tcW w:w="8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1"/>
        </w:trPr>
        <w:tc>
          <w:tcPr>
            <w:tcW w:w="7160" w:type="dxa"/>
            <w:vAlign w:val="bottom"/>
            <w:vMerge w:val="continue"/>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1,182,967</w:t>
            </w:r>
          </w:p>
        </w:tc>
        <w:tc>
          <w:tcPr>
            <w:tcW w:w="16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1,157,584</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7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7160" w:type="dxa"/>
            <w:vAlign w:val="bottom"/>
            <w:shd w:val="clear" w:color="auto" w:fill="CCEEFF"/>
          </w:tcPr>
          <w:p>
            <w:pPr>
              <w:ind w:left="220"/>
              <w:spacing w:after="0" w:line="126" w:lineRule="exact"/>
              <w:rPr>
                <w:sz w:val="20"/>
                <w:szCs w:val="20"/>
                <w:color w:val="auto"/>
              </w:rPr>
            </w:pPr>
            <w:r>
              <w:rPr>
                <w:rFonts w:ascii="Arial" w:cs="Arial" w:eastAsia="Arial" w:hAnsi="Arial"/>
                <w:sz w:val="13"/>
                <w:szCs w:val="13"/>
                <w:b w:val="1"/>
                <w:bCs w:val="1"/>
                <w:color w:val="auto"/>
              </w:rPr>
              <w:t>Exploration</w:t>
            </w:r>
          </w:p>
        </w:tc>
        <w:tc>
          <w:tcPr>
            <w:tcW w:w="80" w:type="dxa"/>
            <w:vAlign w:val="bottom"/>
            <w:shd w:val="clear" w:color="auto" w:fill="CCEEFF"/>
          </w:tcPr>
          <w:p>
            <w:pPr>
              <w:spacing w:after="0"/>
              <w:rPr>
                <w:sz w:val="10"/>
                <w:szCs w:val="10"/>
                <w:color w:val="auto"/>
              </w:rPr>
            </w:pPr>
          </w:p>
        </w:tc>
        <w:tc>
          <w:tcPr>
            <w:tcW w:w="820" w:type="dxa"/>
            <w:vAlign w:val="bottom"/>
            <w:gridSpan w:val="2"/>
            <w:shd w:val="clear" w:color="auto" w:fill="CCEEFF"/>
          </w:tcPr>
          <w:p>
            <w:pPr>
              <w:jc w:val="right"/>
              <w:ind w:right="160"/>
              <w:spacing w:after="0" w:line="126" w:lineRule="exact"/>
              <w:rPr>
                <w:sz w:val="20"/>
                <w:szCs w:val="20"/>
                <w:color w:val="auto"/>
              </w:rPr>
            </w:pPr>
            <w:r>
              <w:rPr>
                <w:rFonts w:ascii="Arial" w:cs="Arial" w:eastAsia="Arial" w:hAnsi="Arial"/>
                <w:sz w:val="13"/>
                <w:szCs w:val="13"/>
                <w:color w:val="auto"/>
              </w:rPr>
              <w:t>198,071</w:t>
            </w:r>
          </w:p>
        </w:tc>
        <w:tc>
          <w:tcPr>
            <w:tcW w:w="80" w:type="dxa"/>
            <w:vAlign w:val="bottom"/>
            <w:shd w:val="clear" w:color="auto" w:fill="CCEEFF"/>
          </w:tcPr>
          <w:p>
            <w:pPr>
              <w:spacing w:after="0"/>
              <w:rPr>
                <w:sz w:val="10"/>
                <w:szCs w:val="10"/>
                <w:color w:val="auto"/>
              </w:rPr>
            </w:pPr>
          </w:p>
        </w:tc>
        <w:tc>
          <w:tcPr>
            <w:tcW w:w="98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199,606</w:t>
            </w:r>
          </w:p>
        </w:tc>
        <w:tc>
          <w:tcPr>
            <w:tcW w:w="0" w:type="dxa"/>
            <w:vAlign w:val="bottom"/>
          </w:tcPr>
          <w:p>
            <w:pPr>
              <w:spacing w:after="0"/>
              <w:rPr>
                <w:sz w:val="1"/>
                <w:szCs w:val="1"/>
                <w:color w:val="auto"/>
              </w:rPr>
            </w:pPr>
          </w:p>
        </w:tc>
      </w:tr>
      <w:tr>
        <w:trPr>
          <w:trHeight w:val="26"/>
        </w:trPr>
        <w:tc>
          <w:tcPr>
            <w:tcW w:w="7160" w:type="dxa"/>
            <w:vAlign w:val="bottom"/>
            <w:vMerge w:val="restart"/>
          </w:tcPr>
          <w:p>
            <w:pPr>
              <w:ind w:left="220"/>
              <w:spacing w:after="0"/>
              <w:rPr>
                <w:sz w:val="20"/>
                <w:szCs w:val="20"/>
                <w:color w:val="auto"/>
              </w:rPr>
            </w:pPr>
            <w:r>
              <w:rPr>
                <w:rFonts w:ascii="Arial" w:cs="Arial" w:eastAsia="Arial" w:hAnsi="Arial"/>
                <w:sz w:val="13"/>
                <w:szCs w:val="13"/>
                <w:b w:val="1"/>
                <w:bCs w:val="1"/>
                <w:color w:val="auto"/>
              </w:rPr>
              <w:t>Corporate and other</w:t>
            </w:r>
          </w:p>
        </w:tc>
        <w:tc>
          <w:tcPr>
            <w:tcW w:w="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160" w:type="dxa"/>
            <w:vAlign w:val="bottom"/>
            <w:vMerge w:val="continu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7"/>
        </w:trPr>
        <w:tc>
          <w:tcPr>
            <w:tcW w:w="7160" w:type="dxa"/>
            <w:vAlign w:val="bottom"/>
            <w:vMerge w:val="continue"/>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161,916</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right"/>
              <w:spacing w:after="0" w:line="147" w:lineRule="exact"/>
              <w:rPr>
                <w:sz w:val="20"/>
                <w:szCs w:val="20"/>
                <w:color w:val="auto"/>
              </w:rPr>
            </w:pPr>
            <w:r>
              <w:rPr>
                <w:rFonts w:ascii="Arial" w:cs="Arial" w:eastAsia="Arial" w:hAnsi="Arial"/>
                <w:sz w:val="13"/>
                <w:szCs w:val="13"/>
                <w:color w:val="auto"/>
              </w:rPr>
              <w:t>135,938</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7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6"/>
        </w:trPr>
        <w:tc>
          <w:tcPr>
            <w:tcW w:w="7160" w:type="dxa"/>
            <w:vAlign w:val="bottom"/>
            <w:shd w:val="clear" w:color="auto" w:fill="CCEEFF"/>
          </w:tcPr>
          <w:p>
            <w:pPr>
              <w:ind w:left="220"/>
              <w:spacing w:after="0" w:line="126" w:lineRule="exact"/>
              <w:rPr>
                <w:sz w:val="20"/>
                <w:szCs w:val="20"/>
                <w:color w:val="auto"/>
              </w:rPr>
            </w:pPr>
            <w:r>
              <w:rPr>
                <w:rFonts w:ascii="Arial" w:cs="Arial" w:eastAsia="Arial" w:hAnsi="Arial"/>
                <w:sz w:val="13"/>
                <w:szCs w:val="13"/>
                <w:b w:val="1"/>
                <w:bCs w:val="1"/>
                <w:color w:val="auto"/>
              </w:rPr>
              <w:t>Total assets</w:t>
            </w:r>
          </w:p>
        </w:tc>
        <w:tc>
          <w:tcPr>
            <w:tcW w:w="8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820" w:type="dxa"/>
            <w:vAlign w:val="bottom"/>
            <w:gridSpan w:val="2"/>
            <w:shd w:val="clear" w:color="auto" w:fill="CCEEFF"/>
          </w:tcPr>
          <w:p>
            <w:pPr>
              <w:jc w:val="right"/>
              <w:ind w:right="160"/>
              <w:spacing w:after="0" w:line="126" w:lineRule="exact"/>
              <w:rPr>
                <w:sz w:val="20"/>
                <w:szCs w:val="20"/>
                <w:color w:val="auto"/>
              </w:rPr>
            </w:pPr>
            <w:r>
              <w:rPr>
                <w:rFonts w:ascii="Arial" w:cs="Arial" w:eastAsia="Arial" w:hAnsi="Arial"/>
                <w:sz w:val="13"/>
                <w:szCs w:val="13"/>
                <w:color w:val="auto"/>
              </w:rPr>
              <w:t>6,716,564</w:t>
            </w:r>
          </w:p>
        </w:tc>
        <w:tc>
          <w:tcPr>
            <w:tcW w:w="80" w:type="dxa"/>
            <w:vAlign w:val="bottom"/>
            <w:shd w:val="clear" w:color="auto" w:fill="CCEEFF"/>
          </w:tcPr>
          <w:p>
            <w:pPr>
              <w:jc w:val="right"/>
              <w:spacing w:after="0" w:line="126" w:lineRule="exact"/>
              <w:rPr>
                <w:sz w:val="20"/>
                <w:szCs w:val="20"/>
                <w:color w:val="auto"/>
              </w:rPr>
            </w:pPr>
            <w:r>
              <w:rPr>
                <w:rFonts w:ascii="Arial" w:cs="Arial" w:eastAsia="Arial" w:hAnsi="Arial"/>
                <w:sz w:val="13"/>
                <w:szCs w:val="13"/>
                <w:color w:val="auto"/>
                <w:w w:val="82"/>
              </w:rPr>
              <w:t>$</w:t>
            </w:r>
          </w:p>
        </w:tc>
        <w:tc>
          <w:tcPr>
            <w:tcW w:w="980" w:type="dxa"/>
            <w:vAlign w:val="bottom"/>
            <w:gridSpan w:val="2"/>
            <w:shd w:val="clear" w:color="auto" w:fill="CCEEFF"/>
          </w:tcPr>
          <w:p>
            <w:pPr>
              <w:jc w:val="right"/>
              <w:ind w:right="140"/>
              <w:spacing w:after="0" w:line="126" w:lineRule="exact"/>
              <w:rPr>
                <w:sz w:val="20"/>
                <w:szCs w:val="20"/>
                <w:color w:val="auto"/>
              </w:rPr>
            </w:pPr>
            <w:r>
              <w:rPr>
                <w:rFonts w:ascii="Arial" w:cs="Arial" w:eastAsia="Arial" w:hAnsi="Arial"/>
                <w:sz w:val="13"/>
                <w:szCs w:val="13"/>
                <w:color w:val="auto"/>
              </w:rPr>
              <w:t>6,683,180</w:t>
            </w:r>
          </w:p>
        </w:tc>
        <w:tc>
          <w:tcPr>
            <w:tcW w:w="0" w:type="dxa"/>
            <w:vAlign w:val="bottom"/>
          </w:tcPr>
          <w:p>
            <w:pPr>
              <w:spacing w:after="0"/>
              <w:rPr>
                <w:sz w:val="1"/>
                <w:szCs w:val="1"/>
                <w:color w:val="auto"/>
              </w:rPr>
            </w:pPr>
          </w:p>
        </w:tc>
      </w:tr>
      <w:tr>
        <w:trPr>
          <w:trHeight w:val="26"/>
        </w:trPr>
        <w:tc>
          <w:tcPr>
            <w:tcW w:w="7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7"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14.  COMMITMENTS AND CONTINGENCIES</w:t>
      </w:r>
    </w:p>
    <w:p>
      <w:pPr>
        <w:spacing w:after="0" w:line="208" w:lineRule="exact"/>
        <w:rPr>
          <w:sz w:val="20"/>
          <w:szCs w:val="20"/>
          <w:color w:val="auto"/>
        </w:rPr>
      </w:pPr>
    </w:p>
    <w:p>
      <w:pPr>
        <w:ind w:left="520"/>
        <w:spacing w:after="0" w:line="256" w:lineRule="auto"/>
        <w:rPr>
          <w:sz w:val="20"/>
          <w:szCs w:val="20"/>
          <w:color w:val="auto"/>
        </w:rPr>
      </w:pPr>
      <w:r>
        <w:rPr>
          <w:rFonts w:ascii="Arial" w:cs="Arial" w:eastAsia="Arial" w:hAnsi="Arial"/>
          <w:sz w:val="13"/>
          <w:szCs w:val="13"/>
          <w:color w:val="auto"/>
        </w:rPr>
        <w:t>As part of its ongoing business and operations, the Company has been required to provide assurance in the form of letters of credit for environmental and site restoration costs, custom credits, government grants and other general corporate purposes. As at March 31, 2016, the total amount of these guarantees was $275.8 million.</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3"/>
          <w:szCs w:val="13"/>
          <w:color w:val="auto"/>
        </w:rPr>
        <w:t>As at March 31, 2016 the Company had $31.0 million of commitments related to capital expenditures.</w:t>
      </w:r>
    </w:p>
    <w:p>
      <w:pPr>
        <w:spacing w:after="0" w:line="200" w:lineRule="exact"/>
        <w:rPr>
          <w:sz w:val="20"/>
          <w:szCs w:val="20"/>
          <w:color w:val="auto"/>
        </w:rPr>
      </w:pPr>
    </w:p>
    <w:p>
      <w:pPr>
        <w:ind w:left="520" w:right="9720" w:hanging="515"/>
        <w:spacing w:after="0" w:line="619" w:lineRule="auto"/>
        <w:tabs>
          <w:tab w:leader="none" w:pos="258" w:val="left"/>
        </w:tabs>
        <w:numPr>
          <w:ilvl w:val="0"/>
          <w:numId w:val="23"/>
        </w:numPr>
        <w:rPr>
          <w:rFonts w:ascii="Arial" w:cs="Arial" w:eastAsia="Arial" w:hAnsi="Arial"/>
          <w:sz w:val="12"/>
          <w:szCs w:val="12"/>
          <w:b w:val="1"/>
          <w:bCs w:val="1"/>
          <w:color w:val="auto"/>
        </w:rPr>
      </w:pPr>
      <w:r>
        <w:rPr>
          <w:rFonts w:ascii="Arial" w:cs="Arial" w:eastAsia="Arial" w:hAnsi="Arial"/>
          <w:sz w:val="12"/>
          <w:szCs w:val="12"/>
          <w:b w:val="1"/>
          <w:bCs w:val="1"/>
          <w:color w:val="auto"/>
        </w:rPr>
        <w:t xml:space="preserve">SUBSEQUENT EVENTS </w:t>
      </w:r>
      <w:r>
        <w:rPr>
          <w:rFonts w:ascii="Arial" w:cs="Arial" w:eastAsia="Arial" w:hAnsi="Arial"/>
          <w:sz w:val="12"/>
          <w:szCs w:val="12"/>
          <w:b w:val="1"/>
          <w:bCs w:val="1"/>
          <w:i w:val="1"/>
          <w:iCs w:val="1"/>
          <w:color w:val="auto"/>
        </w:rPr>
        <w:t>Dividends Declared</w:t>
      </w:r>
    </w:p>
    <w:p>
      <w:pPr>
        <w:ind w:left="520"/>
        <w:spacing w:after="0" w:line="256" w:lineRule="auto"/>
        <w:rPr>
          <w:sz w:val="20"/>
          <w:szCs w:val="20"/>
          <w:color w:val="auto"/>
        </w:rPr>
      </w:pPr>
      <w:r>
        <w:rPr>
          <w:rFonts w:ascii="Arial" w:cs="Arial" w:eastAsia="Arial" w:hAnsi="Arial"/>
          <w:sz w:val="13"/>
          <w:szCs w:val="13"/>
          <w:color w:val="auto"/>
        </w:rPr>
        <w:t>On April 28, 2016, Agnico Eagle announced that the Board approved the payment of a quarterly cash dividend of $0.08 per common share (a total value of approximately $17.6 million), payable on June 15, 2016 to holders of record of the common shares of the Company on June 1, 2016.</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4" w:name="page45"/>
    <w:bookmarkEnd w:id="44"/>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153035</wp:posOffset>
            </wp:positionH>
            <wp:positionV relativeFrom="page">
              <wp:posOffset>1302385</wp:posOffset>
            </wp:positionV>
            <wp:extent cx="7254875" cy="209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54875" cy="20955"/>
                    </a:xfrm>
                    <a:prstGeom prst="rect">
                      <a:avLst/>
                    </a:prstGeom>
                    <a:noFill/>
                  </pic:spPr>
                </pic:pic>
              </a:graphicData>
            </a:graphic>
          </wp:anchor>
        </w:drawing>
        <w:drawing>
          <wp:anchor simplePos="0" relativeHeight="251657728" behindDoc="1" locked="0" layoutInCell="0" allowOverlap="1">
            <wp:simplePos x="0" y="0"/>
            <wp:positionH relativeFrom="page">
              <wp:posOffset>2653030</wp:posOffset>
            </wp:positionH>
            <wp:positionV relativeFrom="page">
              <wp:posOffset>88900</wp:posOffset>
            </wp:positionV>
            <wp:extent cx="2256155" cy="108204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clrChange>
                        <a:clrFrom>
                          <a:srgbClr val="FFFFFF"/>
                        </a:clrFrom>
                        <a:clrTo>
                          <a:srgbClr val="FFFFFF">
                            <a:alpha val="0"/>
                          </a:srgbClr>
                        </a:clrTo>
                      </a:clrChange>
                      <a:extLst>
                        <a:ext uri="{28A0092B-C50C-407E-A947-70E740481C1C}"/>
                      </a:extLst>
                    </a:blip>
                    <a:srcRect/>
                    <a:stretch>
                      <a:fillRect/>
                    </a:stretch>
                  </pic:blipFill>
                  <pic:spPr bwMode="auto">
                    <a:xfrm>
                      <a:off x="0" y="0"/>
                      <a:ext cx="2256155" cy="108204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45" w:name="page46"/>
    <w:bookmarkEnd w:id="45"/>
    <w:p>
      <w:pPr>
        <w:spacing w:after="0"/>
        <w:rPr>
          <w:sz w:val="20"/>
          <w:szCs w:val="20"/>
          <w:color w:val="auto"/>
        </w:rPr>
      </w:pPr>
      <w:r>
        <w:rPr>
          <w:rFonts w:ascii="Arial" w:cs="Arial" w:eastAsia="Arial" w:hAnsi="Arial"/>
          <w:sz w:val="21"/>
          <w:szCs w:val="21"/>
          <w:color w:val="auto"/>
        </w:rPr>
        <w:t>QuickLinks</w:t>
      </w:r>
    </w:p>
    <w:p>
      <w:pPr>
        <w:spacing w:after="0" w:line="217" w:lineRule="exact"/>
        <w:rPr>
          <w:sz w:val="20"/>
          <w:szCs w:val="20"/>
          <w:color w:val="auto"/>
        </w:rPr>
      </w:pPr>
    </w:p>
    <w:p>
      <w:pPr>
        <w:ind w:left="520"/>
        <w:spacing w:after="0"/>
        <w:rPr>
          <w:rFonts w:ascii="Arial" w:cs="Arial" w:eastAsia="Arial" w:hAnsi="Arial"/>
          <w:sz w:val="17"/>
          <w:szCs w:val="17"/>
          <w:u w:val="single" w:color="auto"/>
          <w:color w:val="0000EE"/>
        </w:rPr>
      </w:pPr>
      <w:hyperlink w:anchor="page5">
        <w:r>
          <w:rPr>
            <w:rFonts w:ascii="Arial" w:cs="Arial" w:eastAsia="Arial" w:hAnsi="Arial"/>
            <w:sz w:val="17"/>
            <w:szCs w:val="17"/>
            <w:u w:val="single" w:color="auto"/>
            <w:color w:val="0000EE"/>
          </w:rPr>
          <w:t>Exhibit 99.1</w:t>
        </w:r>
      </w:hyperlink>
    </w:p>
    <w:p>
      <w:pPr>
        <w:spacing w:after="0" w:line="224" w:lineRule="exact"/>
        <w:rPr>
          <w:sz w:val="20"/>
          <w:szCs w:val="20"/>
          <w:color w:val="auto"/>
        </w:rPr>
      </w:pPr>
    </w:p>
    <w:p>
      <w:pPr>
        <w:spacing w:after="0"/>
        <w:rPr>
          <w:rFonts w:ascii="Arial" w:cs="Arial" w:eastAsia="Arial" w:hAnsi="Arial"/>
          <w:sz w:val="17"/>
          <w:szCs w:val="17"/>
          <w:u w:val="single" w:color="auto"/>
          <w:color w:val="0000EE"/>
        </w:rPr>
      </w:pPr>
      <w:hyperlink w:anchor="page5">
        <w:r>
          <w:rPr>
            <w:rFonts w:ascii="Arial" w:cs="Arial" w:eastAsia="Arial" w:hAnsi="Arial"/>
            <w:sz w:val="17"/>
            <w:szCs w:val="17"/>
            <w:u w:val="single" w:color="auto"/>
            <w:color w:val="0000EE"/>
          </w:rPr>
          <w:t>First Quarter Report 2016</w:t>
        </w:r>
      </w:hyperlink>
    </w:p>
    <w:p>
      <w:pPr>
        <w:spacing w:after="0" w:line="20" w:lineRule="exact"/>
        <w:rPr>
          <w:sz w:val="20"/>
          <w:szCs w:val="20"/>
          <w:color w:val="auto"/>
        </w:rPr>
      </w:pPr>
    </w:p>
    <w:p>
      <w:pPr>
        <w:ind w:right="740"/>
        <w:spacing w:after="0" w:line="257" w:lineRule="auto"/>
        <w:rPr>
          <w:rFonts w:ascii="Arial" w:cs="Arial" w:eastAsia="Arial" w:hAnsi="Arial"/>
          <w:sz w:val="17"/>
          <w:szCs w:val="17"/>
          <w:u w:val="single" w:color="auto"/>
          <w:color w:val="0000EE"/>
        </w:rPr>
      </w:pPr>
      <w:hyperlink w:anchor="page6">
        <w:r>
          <w:rPr>
            <w:rFonts w:ascii="Arial" w:cs="Arial" w:eastAsia="Arial" w:hAnsi="Arial"/>
            <w:sz w:val="17"/>
            <w:szCs w:val="17"/>
            <w:u w:val="single" w:color="auto"/>
            <w:color w:val="0000EE"/>
          </w:rPr>
          <w:t>AGNICO EAGLE MINES LIMITED MANAGEMENT'S DISCUSSION AND ANALYSIS (Prepared in accordance with International Financial Reporting</w:t>
        </w:r>
      </w:hyperlink>
      <w:r>
        <w:rPr>
          <w:rFonts w:ascii="Arial" w:cs="Arial" w:eastAsia="Arial" w:hAnsi="Arial"/>
          <w:sz w:val="17"/>
          <w:szCs w:val="17"/>
          <w:u w:val="single" w:color="auto"/>
          <w:color w:val="0000EE"/>
        </w:rPr>
        <w:t xml:space="preserve"> </w:t>
      </w:r>
      <w:hyperlink w:anchor="page6">
        <w:r>
          <w:rPr>
            <w:rFonts w:ascii="Arial" w:cs="Arial" w:eastAsia="Arial" w:hAnsi="Arial"/>
            <w:sz w:val="17"/>
            <w:szCs w:val="17"/>
            <w:u w:val="single" w:color="auto"/>
            <w:color w:val="0000EE"/>
          </w:rPr>
          <w:t>Standards) For the Three Months Ended March 31, 2016</w:t>
        </w:r>
      </w:hyperlink>
    </w:p>
    <w:p>
      <w:pPr>
        <w:spacing w:after="0" w:line="1" w:lineRule="exact"/>
        <w:rPr>
          <w:sz w:val="20"/>
          <w:szCs w:val="20"/>
          <w:color w:val="auto"/>
        </w:rPr>
      </w:pPr>
    </w:p>
    <w:p>
      <w:pPr>
        <w:ind w:right="740"/>
        <w:spacing w:after="0" w:line="257" w:lineRule="auto"/>
        <w:rPr>
          <w:rFonts w:ascii="Arial" w:cs="Arial" w:eastAsia="Arial" w:hAnsi="Arial"/>
          <w:sz w:val="17"/>
          <w:szCs w:val="17"/>
          <w:u w:val="single" w:color="auto"/>
          <w:color w:val="0000EE"/>
        </w:rPr>
      </w:pPr>
      <w:hyperlink w:anchor="page19">
        <w:r>
          <w:rPr>
            <w:rFonts w:ascii="Arial" w:cs="Arial" w:eastAsia="Arial" w:hAnsi="Arial"/>
            <w:sz w:val="17"/>
            <w:szCs w:val="17"/>
            <w:u w:val="single" w:color="auto"/>
            <w:color w:val="0000EE"/>
          </w:rPr>
          <w:t>AGNICO EAGLE MINES LIMITED MANAGEMENT'S DISCUSSION AND ANALYSIS (Prepared in accordance with International Financial Reporting</w:t>
        </w:r>
      </w:hyperlink>
      <w:r>
        <w:rPr>
          <w:rFonts w:ascii="Arial" w:cs="Arial" w:eastAsia="Arial" w:hAnsi="Arial"/>
          <w:sz w:val="17"/>
          <w:szCs w:val="17"/>
          <w:u w:val="single" w:color="auto"/>
          <w:color w:val="0000EE"/>
        </w:rPr>
        <w:t xml:space="preserve"> </w:t>
      </w:r>
      <w:hyperlink w:anchor="page19">
        <w:r>
          <w:rPr>
            <w:rFonts w:ascii="Arial" w:cs="Arial" w:eastAsia="Arial" w:hAnsi="Arial"/>
            <w:sz w:val="17"/>
            <w:szCs w:val="17"/>
            <w:u w:val="single" w:color="auto"/>
            <w:color w:val="0000EE"/>
          </w:rPr>
          <w:t>Standards) For the Three Months Ended March 31, 2016</w:t>
        </w:r>
      </w:hyperlink>
    </w:p>
    <w:p>
      <w:pPr>
        <w:spacing w:after="0" w:line="1" w:lineRule="exact"/>
        <w:rPr>
          <w:sz w:val="20"/>
          <w:szCs w:val="20"/>
          <w:color w:val="auto"/>
        </w:rPr>
      </w:pPr>
    </w:p>
    <w:p>
      <w:pPr>
        <w:ind w:right="400"/>
        <w:spacing w:after="0" w:line="257" w:lineRule="auto"/>
        <w:rPr>
          <w:rFonts w:ascii="Arial" w:cs="Arial" w:eastAsia="Arial" w:hAnsi="Arial"/>
          <w:sz w:val="17"/>
          <w:szCs w:val="17"/>
          <w:u w:val="single" w:color="auto"/>
          <w:color w:val="0000EE"/>
        </w:rPr>
      </w:pPr>
      <w:hyperlink w:anchor="page25">
        <w:r>
          <w:rPr>
            <w:rFonts w:ascii="Arial" w:cs="Arial" w:eastAsia="Arial" w:hAnsi="Arial"/>
            <w:sz w:val="17"/>
            <w:szCs w:val="17"/>
            <w:u w:val="single" w:color="auto"/>
            <w:color w:val="0000EE"/>
          </w:rPr>
          <w:t>AGNICO EAGLE MINES LIMITED SUMMARY OF OPERATIONS KEY PERFORMANCE INDICATORS (thousands of United States dollars, except where</w:t>
        </w:r>
      </w:hyperlink>
      <w:r>
        <w:rPr>
          <w:rFonts w:ascii="Arial" w:cs="Arial" w:eastAsia="Arial" w:hAnsi="Arial"/>
          <w:sz w:val="17"/>
          <w:szCs w:val="17"/>
          <w:u w:val="single" w:color="auto"/>
          <w:color w:val="0000EE"/>
        </w:rPr>
        <w:t xml:space="preserve"> </w:t>
      </w:r>
      <w:hyperlink w:anchor="page25">
        <w:r>
          <w:rPr>
            <w:rFonts w:ascii="Arial" w:cs="Arial" w:eastAsia="Arial" w:hAnsi="Arial"/>
            <w:sz w:val="17"/>
            <w:szCs w:val="17"/>
            <w:u w:val="single" w:color="auto"/>
            <w:color w:val="0000EE"/>
          </w:rPr>
          <w:t>noted)</w:t>
        </w:r>
      </w:hyperlink>
    </w:p>
    <w:p>
      <w:pPr>
        <w:spacing w:after="0" w:line="1" w:lineRule="exact"/>
        <w:rPr>
          <w:sz w:val="20"/>
          <w:szCs w:val="20"/>
          <w:color w:val="auto"/>
        </w:rPr>
      </w:pPr>
    </w:p>
    <w:p>
      <w:pPr>
        <w:spacing w:after="0"/>
        <w:rPr>
          <w:rFonts w:ascii="Arial" w:cs="Arial" w:eastAsia="Arial" w:hAnsi="Arial"/>
          <w:sz w:val="17"/>
          <w:szCs w:val="17"/>
          <w:u w:val="single" w:color="auto"/>
          <w:color w:val="0000EE"/>
        </w:rPr>
      </w:pPr>
      <w:hyperlink w:anchor="page29">
        <w:r>
          <w:rPr>
            <w:rFonts w:ascii="Arial" w:cs="Arial" w:eastAsia="Arial" w:hAnsi="Arial"/>
            <w:sz w:val="17"/>
            <w:szCs w:val="17"/>
            <w:u w:val="single" w:color="auto"/>
            <w:color w:val="0000EE"/>
          </w:rPr>
          <w:t>AGNICO EAGLE MINES LIMITED SUMMARIZED QUARTERLY DATA (thousands of United States dollars, except where noted)</w:t>
        </w:r>
      </w:hyperlink>
    </w:p>
    <w:p>
      <w:pPr>
        <w:spacing w:after="0" w:line="14" w:lineRule="exact"/>
        <w:rPr>
          <w:sz w:val="20"/>
          <w:szCs w:val="20"/>
          <w:color w:val="auto"/>
        </w:rPr>
      </w:pPr>
    </w:p>
    <w:p>
      <w:pPr>
        <w:spacing w:after="0"/>
        <w:rPr>
          <w:rFonts w:ascii="Arial" w:cs="Arial" w:eastAsia="Arial" w:hAnsi="Arial"/>
          <w:sz w:val="16"/>
          <w:szCs w:val="16"/>
          <w:u w:val="single" w:color="auto"/>
          <w:color w:val="0000EE"/>
        </w:rPr>
      </w:pPr>
      <w:hyperlink w:anchor="page30">
        <w:r>
          <w:rPr>
            <w:rFonts w:ascii="Arial" w:cs="Arial" w:eastAsia="Arial" w:hAnsi="Arial"/>
            <w:sz w:val="16"/>
            <w:szCs w:val="16"/>
            <w:u w:val="single" w:color="auto"/>
            <w:color w:val="0000EE"/>
          </w:rPr>
          <w:t>AGNICO EAGLE MINES LIMITED CONDENSED INTERIM CONSOLIDATED BALANCE SHEETS (thousands of United States dollars, except share amounts)</w:t>
        </w:r>
      </w:hyperlink>
    </w:p>
    <w:p>
      <w:pPr>
        <w:spacing w:after="0" w:line="26" w:lineRule="exact"/>
        <w:rPr>
          <w:sz w:val="20"/>
          <w:szCs w:val="20"/>
          <w:color w:val="auto"/>
        </w:rPr>
      </w:pPr>
    </w:p>
    <w:p>
      <w:pPr>
        <w:spacing w:after="0"/>
        <w:rPr>
          <w:rFonts w:ascii="Arial" w:cs="Arial" w:eastAsia="Arial" w:hAnsi="Arial"/>
          <w:sz w:val="17"/>
          <w:szCs w:val="17"/>
          <w:u w:val="single" w:color="auto"/>
          <w:color w:val="0000EE"/>
        </w:rPr>
      </w:pPr>
      <w:hyperlink w:anchor="page30">
        <w:r>
          <w:rPr>
            <w:rFonts w:ascii="Arial" w:cs="Arial" w:eastAsia="Arial" w:hAnsi="Arial"/>
            <w:sz w:val="17"/>
            <w:szCs w:val="17"/>
            <w:u w:val="single" w:color="auto"/>
            <w:color w:val="0000EE"/>
          </w:rPr>
          <w:t>(Unaudited)</w:t>
        </w:r>
      </w:hyperlink>
    </w:p>
    <w:p>
      <w:pPr>
        <w:spacing w:after="0" w:line="14" w:lineRule="exact"/>
        <w:rPr>
          <w:sz w:val="20"/>
          <w:szCs w:val="20"/>
          <w:color w:val="auto"/>
        </w:rPr>
      </w:pPr>
    </w:p>
    <w:p>
      <w:pPr>
        <w:spacing w:after="0" w:line="257" w:lineRule="auto"/>
        <w:rPr>
          <w:rFonts w:ascii="Arial" w:cs="Arial" w:eastAsia="Arial" w:hAnsi="Arial"/>
          <w:sz w:val="17"/>
          <w:szCs w:val="17"/>
          <w:u w:val="single" w:color="auto"/>
          <w:color w:val="0000EE"/>
        </w:rPr>
      </w:pPr>
      <w:hyperlink w:anchor="page31">
        <w:r>
          <w:rPr>
            <w:rFonts w:ascii="Arial" w:cs="Arial" w:eastAsia="Arial" w:hAnsi="Arial"/>
            <w:sz w:val="17"/>
            <w:szCs w:val="17"/>
            <w:u w:val="single" w:color="auto"/>
            <w:color w:val="0000EE"/>
          </w:rPr>
          <w:t>AGNICO EAGLE MINES LIMITED CONDENSED INTERIM CONSOLIDATED STATEMENTS OF INCOME AND COMPREHENSIVE INCOME (thousands of</w:t>
        </w:r>
      </w:hyperlink>
      <w:r>
        <w:rPr>
          <w:rFonts w:ascii="Arial" w:cs="Arial" w:eastAsia="Arial" w:hAnsi="Arial"/>
          <w:sz w:val="17"/>
          <w:szCs w:val="17"/>
          <w:u w:val="single" w:color="auto"/>
          <w:color w:val="0000EE"/>
        </w:rPr>
        <w:t xml:space="preserve"> </w:t>
      </w:r>
      <w:hyperlink w:anchor="page31">
        <w:r>
          <w:rPr>
            <w:rFonts w:ascii="Arial" w:cs="Arial" w:eastAsia="Arial" w:hAnsi="Arial"/>
            <w:sz w:val="17"/>
            <w:szCs w:val="17"/>
            <w:u w:val="single" w:color="auto"/>
            <w:color w:val="0000EE"/>
          </w:rPr>
          <w:t>United States dollars, except per share amounts) (Unaudited)</w:t>
        </w:r>
      </w:hyperlink>
    </w:p>
    <w:p>
      <w:pPr>
        <w:spacing w:after="0" w:line="1" w:lineRule="exact"/>
        <w:rPr>
          <w:sz w:val="20"/>
          <w:szCs w:val="20"/>
          <w:color w:val="auto"/>
        </w:rPr>
      </w:pPr>
    </w:p>
    <w:p>
      <w:pPr>
        <w:ind w:right="240"/>
        <w:spacing w:after="0" w:line="257" w:lineRule="auto"/>
        <w:rPr>
          <w:rFonts w:ascii="Arial" w:cs="Arial" w:eastAsia="Arial" w:hAnsi="Arial"/>
          <w:sz w:val="17"/>
          <w:szCs w:val="17"/>
          <w:u w:val="single" w:color="auto"/>
          <w:color w:val="0000EE"/>
        </w:rPr>
      </w:pPr>
      <w:hyperlink w:anchor="page32">
        <w:r>
          <w:rPr>
            <w:rFonts w:ascii="Arial" w:cs="Arial" w:eastAsia="Arial" w:hAnsi="Arial"/>
            <w:sz w:val="17"/>
            <w:szCs w:val="17"/>
            <w:u w:val="single" w:color="auto"/>
            <w:color w:val="0000EE"/>
          </w:rPr>
          <w:t>AGNICO EAGLE MINES LIMITED CONDENSED INTERIM CONSOLIDATED STATEMENTS OF EQUITY (thousands of United States dollars, except share</w:t>
        </w:r>
      </w:hyperlink>
      <w:r>
        <w:rPr>
          <w:rFonts w:ascii="Arial" w:cs="Arial" w:eastAsia="Arial" w:hAnsi="Arial"/>
          <w:sz w:val="17"/>
          <w:szCs w:val="17"/>
          <w:u w:val="single" w:color="auto"/>
          <w:color w:val="0000EE"/>
        </w:rPr>
        <w:t xml:space="preserve"> </w:t>
      </w:r>
      <w:hyperlink w:anchor="page32">
        <w:r>
          <w:rPr>
            <w:rFonts w:ascii="Arial" w:cs="Arial" w:eastAsia="Arial" w:hAnsi="Arial"/>
            <w:sz w:val="17"/>
            <w:szCs w:val="17"/>
            <w:u w:val="single" w:color="auto"/>
            <w:color w:val="0000EE"/>
          </w:rPr>
          <w:t>and per share amounts) (Unaudited)</w:t>
        </w:r>
      </w:hyperlink>
    </w:p>
    <w:p>
      <w:pPr>
        <w:spacing w:after="0" w:line="1" w:lineRule="exact"/>
        <w:rPr>
          <w:sz w:val="20"/>
          <w:szCs w:val="20"/>
          <w:color w:val="auto"/>
        </w:rPr>
      </w:pPr>
    </w:p>
    <w:p>
      <w:pPr>
        <w:spacing w:after="0"/>
        <w:rPr>
          <w:rFonts w:ascii="Arial" w:cs="Arial" w:eastAsia="Arial" w:hAnsi="Arial"/>
          <w:sz w:val="17"/>
          <w:szCs w:val="17"/>
          <w:u w:val="single" w:color="auto"/>
          <w:color w:val="0000EE"/>
        </w:rPr>
      </w:pPr>
      <w:hyperlink w:anchor="page33">
        <w:r>
          <w:rPr>
            <w:rFonts w:ascii="Arial" w:cs="Arial" w:eastAsia="Arial" w:hAnsi="Arial"/>
            <w:sz w:val="17"/>
            <w:szCs w:val="17"/>
            <w:u w:val="single" w:color="auto"/>
            <w:color w:val="0000EE"/>
          </w:rPr>
          <w:t>AGNICO EAGLE MINES LIMITED CONDENSED INTERIM CONSOLIDATED STATEMENTS OF CASH FLOWS (thousands of United States dollars)</w:t>
        </w:r>
      </w:hyperlink>
    </w:p>
    <w:p>
      <w:pPr>
        <w:spacing w:after="0" w:line="14" w:lineRule="exact"/>
        <w:rPr>
          <w:sz w:val="20"/>
          <w:szCs w:val="20"/>
          <w:color w:val="auto"/>
        </w:rPr>
      </w:pPr>
    </w:p>
    <w:p>
      <w:pPr>
        <w:spacing w:after="0"/>
        <w:rPr>
          <w:rFonts w:ascii="Arial" w:cs="Arial" w:eastAsia="Arial" w:hAnsi="Arial"/>
          <w:sz w:val="17"/>
          <w:szCs w:val="17"/>
          <w:u w:val="single" w:color="auto"/>
          <w:color w:val="0000EE"/>
        </w:rPr>
      </w:pPr>
      <w:hyperlink w:anchor="page33">
        <w:r>
          <w:rPr>
            <w:rFonts w:ascii="Arial" w:cs="Arial" w:eastAsia="Arial" w:hAnsi="Arial"/>
            <w:sz w:val="17"/>
            <w:szCs w:val="17"/>
            <w:u w:val="single" w:color="auto"/>
            <w:color w:val="0000EE"/>
          </w:rPr>
          <w:t>(Unaudited)</w:t>
        </w:r>
      </w:hyperlink>
    </w:p>
    <w:p>
      <w:pPr>
        <w:spacing w:after="0" w:line="14" w:lineRule="exact"/>
        <w:rPr>
          <w:sz w:val="20"/>
          <w:szCs w:val="20"/>
          <w:color w:val="auto"/>
        </w:rPr>
      </w:pPr>
    </w:p>
    <w:p>
      <w:pPr>
        <w:ind w:right="240"/>
        <w:spacing w:after="0" w:line="275" w:lineRule="auto"/>
        <w:rPr>
          <w:rFonts w:ascii="Arial" w:cs="Arial" w:eastAsia="Arial" w:hAnsi="Arial"/>
          <w:sz w:val="17"/>
          <w:szCs w:val="17"/>
          <w:u w:val="single" w:color="auto"/>
          <w:color w:val="0000EE"/>
        </w:rPr>
      </w:pPr>
      <w:hyperlink w:anchor="page34">
        <w:r>
          <w:rPr>
            <w:rFonts w:ascii="Arial" w:cs="Arial" w:eastAsia="Arial" w:hAnsi="Arial"/>
            <w:sz w:val="17"/>
            <w:szCs w:val="17"/>
            <w:u w:val="single" w:color="auto"/>
            <w:color w:val="0000EE"/>
          </w:rPr>
          <w:t>AGNICO EAGLE MINES LIMITED NOTES TO CONDENSED INTERIM CONSOLIDATED FINANCIAL STATEMENTS (thousands of United States dollars,</w:t>
        </w:r>
      </w:hyperlink>
      <w:r>
        <w:rPr>
          <w:rFonts w:ascii="Arial" w:cs="Arial" w:eastAsia="Arial" w:hAnsi="Arial"/>
          <w:sz w:val="17"/>
          <w:szCs w:val="17"/>
          <w:u w:val="single" w:color="auto"/>
          <w:color w:val="0000EE"/>
        </w:rPr>
        <w:t xml:space="preserve"> </w:t>
      </w:r>
      <w:hyperlink w:anchor="page34">
        <w:r>
          <w:rPr>
            <w:rFonts w:ascii="Arial" w:cs="Arial" w:eastAsia="Arial" w:hAnsi="Arial"/>
            <w:sz w:val="17"/>
            <w:szCs w:val="17"/>
            <w:u w:val="single" w:color="auto"/>
            <w:color w:val="0000EE"/>
          </w:rPr>
          <w:t>except share and per share amounts, unless otherwise indicated) (Unaudited) March 31, 2016</w:t>
        </w:r>
      </w:hyperlink>
    </w:p>
    <w:sectPr>
      <w:pgSz w:w="11900" w:h="16838" w:orient="portrait"/>
      <w:cols w:equalWidth="0" w:num="1">
        <w:col w:w="11400"/>
      </w:cols>
      <w:pgMar w:left="240" w:top="800"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EF438D"/>
    <w:multiLevelType w:val="hybridMultilevel"/>
    <w:lvl w:ilvl="0">
      <w:lvlJc w:val="left"/>
      <w:lvlText w:val="•"/>
      <w:numFmt w:val="bullet"/>
      <w:start w:val="1"/>
    </w:lvl>
  </w:abstractNum>
  <w:abstractNum w:abstractNumId="1">
    <w:nsid w:val="140E0F76"/>
    <w:multiLevelType w:val="hybridMultilevel"/>
    <w:lvl w:ilvl="0">
      <w:lvlJc w:val="left"/>
      <w:lvlText w:val="(%1)"/>
      <w:numFmt w:val="lowerRoman"/>
      <w:start w:val="1"/>
    </w:lvl>
  </w:abstractNum>
  <w:abstractNum w:abstractNumId="2">
    <w:nsid w:val="3352255A"/>
    <w:multiLevelType w:val="hybridMultilevel"/>
    <w:lvl w:ilvl="0">
      <w:lvlJc w:val="left"/>
      <w:lvlText w:val="(%1)"/>
      <w:numFmt w:val="lowerRoman"/>
      <w:start w:val="3"/>
    </w:lvl>
  </w:abstractNum>
  <w:abstractNum w:abstractNumId="3">
    <w:nsid w:val="109CF92E"/>
    <w:multiLevelType w:val="hybridMultilevel"/>
    <w:lvl w:ilvl="0">
      <w:lvlJc w:val="left"/>
      <w:lvlText w:val="(%1)"/>
      <w:numFmt w:val="lowerRoman"/>
      <w:start w:val="1"/>
    </w:lvl>
  </w:abstractNum>
  <w:abstractNum w:abstractNumId="4">
    <w:nsid w:val="DED7263"/>
    <w:multiLevelType w:val="hybridMultilevel"/>
    <w:lvl w:ilvl="0">
      <w:lvlJc w:val="left"/>
      <w:lvlText w:val="(%1)"/>
      <w:numFmt w:val="lowerRoman"/>
      <w:start w:val="1"/>
    </w:lvl>
  </w:abstractNum>
  <w:abstractNum w:abstractNumId="5">
    <w:nsid w:val="7FDCC233"/>
    <w:multiLevelType w:val="hybridMultilevel"/>
    <w:lvl w:ilvl="0">
      <w:lvlJc w:val="left"/>
      <w:lvlText w:val="(%1)"/>
      <w:numFmt w:val="lowerRoman"/>
      <w:start w:val="1"/>
    </w:lvl>
  </w:abstractNum>
  <w:abstractNum w:abstractNumId="6">
    <w:nsid w:val="1BEFD79F"/>
    <w:multiLevelType w:val="hybridMultilevel"/>
    <w:lvl w:ilvl="0">
      <w:lvlJc w:val="left"/>
      <w:lvlText w:val="(%1)"/>
      <w:numFmt w:val="lowerRoman"/>
      <w:start w:val="1"/>
    </w:lvl>
  </w:abstractNum>
  <w:abstractNum w:abstractNumId="7">
    <w:nsid w:val="41A7C4C9"/>
    <w:multiLevelType w:val="hybridMultilevel"/>
    <w:lvl w:ilvl="0">
      <w:lvlJc w:val="left"/>
      <w:lvlText w:val="%1."/>
      <w:numFmt w:val="decimal"/>
      <w:start w:val="1"/>
    </w:lvl>
  </w:abstractNum>
  <w:abstractNum w:abstractNumId="8">
    <w:nsid w:val="6B68079A"/>
    <w:multiLevelType w:val="hybridMultilevel"/>
    <w:lvl w:ilvl="0">
      <w:lvlJc w:val="left"/>
      <w:lvlText w:val="%1."/>
      <w:numFmt w:val="decimal"/>
      <w:start w:val="2"/>
    </w:lvl>
    <w:lvl w:ilvl="1">
      <w:lvlJc w:val="left"/>
      <w:lvlText w:val="%2)"/>
      <w:numFmt w:val="upperLetter"/>
      <w:start w:val="1"/>
    </w:lvl>
  </w:abstractNum>
  <w:abstractNum w:abstractNumId="9">
    <w:nsid w:val="4E6AFB66"/>
    <w:multiLevelType w:val="hybridMultilevel"/>
    <w:lvl w:ilvl="0">
      <w:lvlJc w:val="left"/>
      <w:lvlText w:val="%1."/>
      <w:numFmt w:val="decimal"/>
      <w:start w:val="3"/>
    </w:lvl>
  </w:abstractNum>
  <w:abstractNum w:abstractNumId="10">
    <w:nsid w:val="25E45D32"/>
    <w:multiLevelType w:val="hybridMultilevel"/>
    <w:lvl w:ilvl="0">
      <w:lvlJc w:val="left"/>
      <w:lvlText w:val="%1."/>
      <w:numFmt w:val="decimal"/>
      <w:start w:val="4"/>
    </w:lvl>
  </w:abstractNum>
  <w:abstractNum w:abstractNumId="11">
    <w:nsid w:val="519B500D"/>
    <w:multiLevelType w:val="hybridMultilevel"/>
    <w:lvl w:ilvl="0">
      <w:lvlJc w:val="left"/>
      <w:lvlText w:val="%1."/>
      <w:numFmt w:val="decimal"/>
      <w:start w:val="5"/>
    </w:lvl>
  </w:abstractNum>
  <w:abstractNum w:abstractNumId="12">
    <w:nsid w:val="431BD7B7"/>
    <w:multiLevelType w:val="hybridMultilevel"/>
    <w:lvl w:ilvl="0">
      <w:lvlJc w:val="left"/>
      <w:lvlText w:val="%1."/>
      <w:numFmt w:val="decimal"/>
      <w:start w:val="5"/>
    </w:lvl>
  </w:abstractNum>
  <w:abstractNum w:abstractNumId="13">
    <w:nsid w:val="3F2DBA31"/>
    <w:multiLevelType w:val="hybridMultilevel"/>
    <w:lvl w:ilvl="0">
      <w:lvlJc w:val="left"/>
      <w:lvlText w:val="%1."/>
      <w:numFmt w:val="decimal"/>
      <w:start w:val="6"/>
    </w:lvl>
  </w:abstractNum>
  <w:abstractNum w:abstractNumId="14">
    <w:nsid w:val="7C83E458"/>
    <w:multiLevelType w:val="hybridMultilevel"/>
    <w:lvl w:ilvl="0">
      <w:lvlJc w:val="left"/>
      <w:lvlText w:val="%1."/>
      <w:numFmt w:val="decimal"/>
      <w:start w:val="7"/>
    </w:lvl>
  </w:abstractNum>
  <w:abstractNum w:abstractNumId="15">
    <w:nsid w:val="257130A3"/>
    <w:multiLevelType w:val="hybridMultilevel"/>
    <w:lvl w:ilvl="0">
      <w:lvlJc w:val="left"/>
      <w:lvlText w:val="%1."/>
      <w:numFmt w:val="decimal"/>
      <w:start w:val="8"/>
    </w:lvl>
  </w:abstractNum>
  <w:abstractNum w:abstractNumId="16">
    <w:nsid w:val="62BBD95A"/>
    <w:multiLevelType w:val="hybridMultilevel"/>
    <w:lvl w:ilvl="0">
      <w:lvlJc w:val="left"/>
      <w:lvlText w:val="%1."/>
      <w:numFmt w:val="decimal"/>
      <w:start w:val="9"/>
    </w:lvl>
  </w:abstractNum>
  <w:abstractNum w:abstractNumId="17">
    <w:nsid w:val="436C6125"/>
    <w:multiLevelType w:val="hybridMultilevel"/>
    <w:lvl w:ilvl="0">
      <w:lvlJc w:val="left"/>
      <w:lvlText w:val="(%1)"/>
      <w:numFmt w:val="lowerLetter"/>
      <w:start w:val="2"/>
    </w:lvl>
  </w:abstractNum>
  <w:abstractNum w:abstractNumId="18">
    <w:nsid w:val="628C895D"/>
    <w:multiLevelType w:val="hybridMultilevel"/>
    <w:lvl w:ilvl="0">
      <w:lvlJc w:val="left"/>
      <w:lvlText w:val="(%1)"/>
      <w:numFmt w:val="lowerLetter"/>
      <w:start w:val="3"/>
    </w:lvl>
  </w:abstractNum>
  <w:abstractNum w:abstractNumId="19">
    <w:nsid w:val="333AB105"/>
    <w:multiLevelType w:val="hybridMultilevel"/>
    <w:lvl w:ilvl="0">
      <w:lvlJc w:val="left"/>
      <w:lvlText w:val="(%1)"/>
      <w:numFmt w:val="lowerLetter"/>
      <w:start w:val="4"/>
    </w:lvl>
  </w:abstractNum>
  <w:abstractNum w:abstractNumId="20">
    <w:nsid w:val="721DA317"/>
    <w:multiLevelType w:val="hybridMultilevel"/>
    <w:lvl w:ilvl="0">
      <w:lvlJc w:val="left"/>
      <w:lvlText w:val="%1."/>
      <w:numFmt w:val="decimal"/>
      <w:start w:val="12"/>
    </w:lvl>
  </w:abstractNum>
  <w:abstractNum w:abstractNumId="21">
    <w:nsid w:val="2443A858"/>
    <w:multiLevelType w:val="hybridMultilevel"/>
    <w:lvl w:ilvl="0">
      <w:lvlJc w:val="left"/>
      <w:lvlText w:val="(%1)"/>
      <w:numFmt w:val="lowerRoman"/>
      <w:start w:val="1"/>
    </w:lvl>
  </w:abstractNum>
  <w:abstractNum w:abstractNumId="22">
    <w:nsid w:val="2D1D5AE9"/>
    <w:multiLevelType w:val="hybridMultilevel"/>
    <w:lvl w:ilvl="0">
      <w:lvlJc w:val="left"/>
      <w:lvlText w:val="%1."/>
      <w:numFmt w:val="decimal"/>
      <w:start w:val="1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2020-01-20T08:22:34Z</dcterms:created>
  <dcterms:modified xsi:type="dcterms:W3CDTF">2020-01-20T08:22:34Z</dcterms:modified>
</cp:coreProperties>
</file>